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BA06" w14:textId="2E872750" w:rsidR="00587451" w:rsidRPr="00587451" w:rsidRDefault="008E14DB" w:rsidP="00587451">
      <w:pPr>
        <w:tabs>
          <w:tab w:val="left" w:pos="8505"/>
        </w:tabs>
        <w:ind w:left="463"/>
        <w:jc w:val="center"/>
        <w:rPr>
          <w:rFonts w:ascii="Times New Roman"/>
          <w:position w:val="63"/>
          <w:sz w:val="20"/>
        </w:rPr>
      </w:pPr>
      <w:r>
        <w:rPr>
          <w:rFonts w:ascii="Times New Roman"/>
          <w:noProof/>
          <w:position w:val="63"/>
          <w:sz w:val="20"/>
        </w:rPr>
        <w:drawing>
          <wp:inline distT="0" distB="0" distL="0" distR="0" wp14:anchorId="587BE827" wp14:editId="248601BA">
            <wp:extent cx="6047117" cy="1041033"/>
            <wp:effectExtent l="0" t="0" r="0" b="6985"/>
            <wp:docPr id="1776123249" name="Picture 1776123249"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graphics, font, graphic de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7743" cy="1044584"/>
                    </a:xfrm>
                    <a:prstGeom prst="rect">
                      <a:avLst/>
                    </a:prstGeom>
                    <a:noFill/>
                  </pic:spPr>
                </pic:pic>
              </a:graphicData>
            </a:graphic>
          </wp:inline>
        </w:drawing>
      </w:r>
      <w:r w:rsidR="00587451" w:rsidRPr="00587451">
        <w:rPr>
          <w:b/>
          <w:bCs/>
          <w:sz w:val="36"/>
          <w:szCs w:val="36"/>
        </w:rPr>
        <w:t>Board Assurance Framework (BAF), Risk Register (RR) and Issues Log (IL)</w:t>
      </w:r>
    </w:p>
    <w:p w14:paraId="7AFE51A4" w14:textId="77777777" w:rsidR="00587451" w:rsidRPr="00FE50EC" w:rsidRDefault="00587451" w:rsidP="00587451">
      <w:pPr>
        <w:jc w:val="center"/>
        <w:rPr>
          <w:b/>
          <w:bCs/>
        </w:rPr>
      </w:pPr>
    </w:p>
    <w:p w14:paraId="4D6B926C" w14:textId="0539F583" w:rsidR="00587451" w:rsidRPr="00587451" w:rsidRDefault="006963A9" w:rsidP="00587451">
      <w:pPr>
        <w:jc w:val="center"/>
        <w:rPr>
          <w:sz w:val="24"/>
          <w:szCs w:val="24"/>
        </w:rPr>
      </w:pPr>
      <w:r>
        <w:rPr>
          <w:sz w:val="24"/>
          <w:szCs w:val="24"/>
        </w:rPr>
        <w:t xml:space="preserve">Rotherham </w:t>
      </w:r>
      <w:r w:rsidR="00DE7568">
        <w:rPr>
          <w:sz w:val="24"/>
          <w:szCs w:val="24"/>
        </w:rPr>
        <w:t>Place Committee</w:t>
      </w:r>
      <w:r w:rsidR="00587451">
        <w:rPr>
          <w:sz w:val="24"/>
          <w:szCs w:val="24"/>
        </w:rPr>
        <w:br/>
      </w:r>
    </w:p>
    <w:p w14:paraId="32DD0C8E" w14:textId="6482C9E7" w:rsidR="00587451" w:rsidRPr="00FE50EC" w:rsidRDefault="00520C96" w:rsidP="00587451">
      <w:pPr>
        <w:jc w:val="center"/>
      </w:pPr>
      <w:r>
        <w:t>15 October 2025</w:t>
      </w:r>
    </w:p>
    <w:p w14:paraId="53ECEC0F" w14:textId="77777777" w:rsidR="00BC7693" w:rsidRDefault="00BC7693" w:rsidP="00BC7693">
      <w:pPr>
        <w:pStyle w:val="BodyText"/>
        <w:rPr>
          <w:b/>
        </w:rPr>
      </w:pPr>
    </w:p>
    <w:tbl>
      <w:tblPr>
        <w:tblStyle w:val="TableGrid"/>
        <w:tblW w:w="9985" w:type="dxa"/>
        <w:tblLayout w:type="fixed"/>
        <w:tblLook w:val="04A0" w:firstRow="1" w:lastRow="0" w:firstColumn="1" w:lastColumn="0" w:noHBand="0" w:noVBand="1"/>
      </w:tblPr>
      <w:tblGrid>
        <w:gridCol w:w="2307"/>
        <w:gridCol w:w="2637"/>
        <w:gridCol w:w="5041"/>
      </w:tblGrid>
      <w:tr w:rsidR="00BC7693" w14:paraId="691B0FF1" w14:textId="77777777" w:rsidTr="00633886">
        <w:trPr>
          <w:trHeight w:val="551"/>
        </w:trPr>
        <w:tc>
          <w:tcPr>
            <w:tcW w:w="2307" w:type="dxa"/>
            <w:shd w:val="clear" w:color="auto" w:fill="D9D9D9" w:themeFill="background1" w:themeFillShade="D9"/>
          </w:tcPr>
          <w:p w14:paraId="4328CD1F" w14:textId="77777777" w:rsidR="00BC7693" w:rsidRDefault="00BC7693" w:rsidP="00633886">
            <w:pPr>
              <w:pStyle w:val="TableParagraph"/>
              <w:spacing w:before="120" w:after="120"/>
              <w:ind w:left="107"/>
              <w:rPr>
                <w:rFonts w:ascii="Arial"/>
                <w:b/>
                <w:sz w:val="24"/>
              </w:rPr>
            </w:pPr>
            <w:r>
              <w:rPr>
                <w:rFonts w:ascii="Arial"/>
                <w:b/>
                <w:sz w:val="24"/>
              </w:rPr>
              <w:t>Author(s)</w:t>
            </w:r>
          </w:p>
        </w:tc>
        <w:tc>
          <w:tcPr>
            <w:tcW w:w="7678" w:type="dxa"/>
            <w:gridSpan w:val="2"/>
          </w:tcPr>
          <w:p w14:paraId="0F51F7A8" w14:textId="77777777" w:rsidR="00BC7693" w:rsidRPr="00FC4CF1" w:rsidRDefault="00BC7693" w:rsidP="00633886">
            <w:pPr>
              <w:pStyle w:val="TableParagraph"/>
              <w:ind w:left="107"/>
              <w:rPr>
                <w:rFonts w:ascii="Arial" w:hAnsi="Arial" w:cs="Arial"/>
                <w:sz w:val="24"/>
                <w:szCs w:val="24"/>
              </w:rPr>
            </w:pPr>
            <w:r w:rsidRPr="00FC4CF1">
              <w:rPr>
                <w:rFonts w:ascii="Arial" w:hAnsi="Arial" w:cs="Arial"/>
                <w:sz w:val="24"/>
                <w:szCs w:val="24"/>
              </w:rPr>
              <w:t xml:space="preserve">Ruth Nutbrown – Assistant Director of Business Management  </w:t>
            </w:r>
          </w:p>
          <w:p w14:paraId="56968FE4" w14:textId="77777777" w:rsidR="00BC7693" w:rsidRPr="004A6AD9" w:rsidRDefault="00BC7693" w:rsidP="00633886">
            <w:pPr>
              <w:pStyle w:val="TableParagraph"/>
              <w:ind w:left="107"/>
              <w:rPr>
                <w:rFonts w:ascii="Arial" w:hAnsi="Arial" w:cs="Arial"/>
                <w:sz w:val="24"/>
                <w:szCs w:val="24"/>
              </w:rPr>
            </w:pPr>
            <w:r w:rsidRPr="00FC4CF1">
              <w:rPr>
                <w:rFonts w:ascii="Arial" w:hAnsi="Arial" w:cs="Arial"/>
                <w:sz w:val="24"/>
                <w:szCs w:val="24"/>
              </w:rPr>
              <w:t>Alison Hague – Business Manager – Corporate Affairs and Risk</w:t>
            </w:r>
            <w:r>
              <w:rPr>
                <w:rFonts w:ascii="Arial" w:hAnsi="Arial" w:cs="Arial"/>
                <w:sz w:val="24"/>
                <w:szCs w:val="24"/>
              </w:rPr>
              <w:br/>
            </w:r>
            <w:r w:rsidRPr="00FC4CF1">
              <w:rPr>
                <w:rFonts w:ascii="Arial" w:hAnsi="Arial" w:cs="Arial"/>
                <w:sz w:val="24"/>
                <w:szCs w:val="24"/>
              </w:rPr>
              <w:t>Abby Sharp – Business Support Officer – Risk</w:t>
            </w:r>
          </w:p>
        </w:tc>
      </w:tr>
      <w:tr w:rsidR="00BC7693" w14:paraId="47B82BA3" w14:textId="77777777" w:rsidTr="00633886">
        <w:trPr>
          <w:trHeight w:val="551"/>
        </w:trPr>
        <w:tc>
          <w:tcPr>
            <w:tcW w:w="2307" w:type="dxa"/>
            <w:tcBorders>
              <w:bottom w:val="single" w:sz="4" w:space="0" w:color="auto"/>
            </w:tcBorders>
            <w:shd w:val="clear" w:color="auto" w:fill="D9D9D9" w:themeFill="background1" w:themeFillShade="D9"/>
          </w:tcPr>
          <w:p w14:paraId="4E3F82E4" w14:textId="77777777" w:rsidR="00BC7693" w:rsidRDefault="00BC7693" w:rsidP="00633886">
            <w:pPr>
              <w:pStyle w:val="TableParagraph"/>
              <w:spacing w:before="120" w:after="120"/>
              <w:ind w:left="107"/>
              <w:rPr>
                <w:rFonts w:ascii="Arial"/>
                <w:b/>
                <w:sz w:val="24"/>
              </w:rPr>
            </w:pPr>
            <w:r>
              <w:rPr>
                <w:rFonts w:ascii="Arial"/>
                <w:b/>
                <w:sz w:val="24"/>
              </w:rPr>
              <w:t>Sponsor Director</w:t>
            </w:r>
          </w:p>
        </w:tc>
        <w:tc>
          <w:tcPr>
            <w:tcW w:w="7678" w:type="dxa"/>
            <w:gridSpan w:val="2"/>
            <w:tcBorders>
              <w:bottom w:val="single" w:sz="4" w:space="0" w:color="auto"/>
            </w:tcBorders>
          </w:tcPr>
          <w:p w14:paraId="758D45B5" w14:textId="77777777" w:rsidR="00BC7693" w:rsidRDefault="00BC7693" w:rsidP="00633886">
            <w:pPr>
              <w:pStyle w:val="TableParagraph"/>
              <w:spacing w:before="120" w:after="120"/>
              <w:ind w:left="107"/>
              <w:rPr>
                <w:rFonts w:ascii="Arial"/>
                <w:sz w:val="24"/>
              </w:rPr>
            </w:pPr>
            <w:r w:rsidRPr="00FC4CF1">
              <w:rPr>
                <w:rFonts w:ascii="Arial" w:hAnsi="Arial" w:cs="Arial"/>
                <w:sz w:val="24"/>
                <w:szCs w:val="24"/>
              </w:rPr>
              <w:t>Mark Janvier – Director of Corporate Governance &amp; Board Secretar</w:t>
            </w:r>
            <w:r>
              <w:rPr>
                <w:rFonts w:ascii="Arial" w:hAnsi="Arial" w:cs="Arial"/>
                <w:sz w:val="24"/>
                <w:szCs w:val="24"/>
              </w:rPr>
              <w:t>y</w:t>
            </w:r>
          </w:p>
        </w:tc>
      </w:tr>
      <w:tr w:rsidR="006963A9" w14:paraId="03F0DE44" w14:textId="77777777" w:rsidTr="00633886">
        <w:tc>
          <w:tcPr>
            <w:tcW w:w="4944" w:type="dxa"/>
            <w:gridSpan w:val="2"/>
            <w:shd w:val="clear" w:color="auto" w:fill="D9D9D9" w:themeFill="background1" w:themeFillShade="D9"/>
          </w:tcPr>
          <w:p w14:paraId="7F6EE1DB" w14:textId="77777777" w:rsidR="006963A9" w:rsidRPr="00DB6AEB" w:rsidRDefault="006963A9" w:rsidP="006963A9">
            <w:pPr>
              <w:spacing w:before="120" w:after="120"/>
              <w:rPr>
                <w:sz w:val="24"/>
                <w:szCs w:val="24"/>
              </w:rPr>
            </w:pPr>
            <w:r w:rsidRPr="00B05188">
              <w:rPr>
                <w:b/>
                <w:sz w:val="24"/>
              </w:rPr>
              <w:t>This report provides assurance against the following risk(s) on the ICB’s Board Assurance Framework, Risk Register or Issues Log:</w:t>
            </w:r>
          </w:p>
        </w:tc>
        <w:tc>
          <w:tcPr>
            <w:tcW w:w="5041" w:type="dxa"/>
          </w:tcPr>
          <w:p w14:paraId="0EB07127" w14:textId="61B82B95"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 xml:space="preserve">The paper provides overview of BAF Risks, Corporate Risks and Issues relevant to </w:t>
            </w:r>
            <w:r w:rsidR="0061269B">
              <w:rPr>
                <w:rFonts w:ascii="Arial" w:hAnsi="Arial" w:cs="Arial"/>
                <w:sz w:val="18"/>
                <w:szCs w:val="18"/>
                <w:lang w:val="en-US"/>
              </w:rPr>
              <w:t>Rotherham</w:t>
            </w:r>
            <w:r>
              <w:rPr>
                <w:rFonts w:ascii="Arial" w:hAnsi="Arial" w:cs="Arial"/>
                <w:sz w:val="18"/>
                <w:szCs w:val="18"/>
                <w:lang w:val="en-US"/>
              </w:rPr>
              <w:t xml:space="preserve"> Place, as follows:</w:t>
            </w:r>
          </w:p>
          <w:p w14:paraId="21F1AEE6" w14:textId="77777777" w:rsidR="006963A9" w:rsidRDefault="006963A9" w:rsidP="006963A9">
            <w:pPr>
              <w:pStyle w:val="TableParagraph"/>
              <w:ind w:right="133"/>
              <w:rPr>
                <w:rFonts w:ascii="Arial" w:hAnsi="Arial" w:cs="Arial"/>
                <w:sz w:val="18"/>
                <w:szCs w:val="18"/>
                <w:lang w:val="en-US"/>
              </w:rPr>
            </w:pPr>
          </w:p>
          <w:p w14:paraId="4FCF7D34" w14:textId="77777777" w:rsidR="006963A9" w:rsidRPr="00E94088" w:rsidRDefault="006963A9" w:rsidP="006963A9">
            <w:pPr>
              <w:pStyle w:val="TableParagraph"/>
              <w:ind w:right="133"/>
              <w:rPr>
                <w:rFonts w:ascii="Arial" w:hAnsi="Arial" w:cs="Arial"/>
                <w:sz w:val="14"/>
                <w:szCs w:val="14"/>
                <w:lang w:val="en-US"/>
              </w:rPr>
            </w:pPr>
            <w:r>
              <w:rPr>
                <w:rFonts w:ascii="Arial" w:hAnsi="Arial" w:cs="Arial"/>
                <w:sz w:val="18"/>
                <w:szCs w:val="18"/>
                <w:lang w:val="en-US"/>
              </w:rPr>
              <w:t>BAF</w:t>
            </w:r>
            <w:r w:rsidRPr="00E94088">
              <w:rPr>
                <w:rFonts w:ascii="Arial" w:hAnsi="Arial" w:cs="Arial"/>
                <w:sz w:val="14"/>
                <w:szCs w:val="14"/>
                <w:lang w:val="en-US"/>
              </w:rPr>
              <w:t xml:space="preserve"> </w:t>
            </w:r>
            <w:r>
              <w:rPr>
                <w:rFonts w:ascii="Arial" w:hAnsi="Arial" w:cs="Arial"/>
                <w:sz w:val="14"/>
                <w:szCs w:val="14"/>
                <w:lang w:val="en-US"/>
              </w:rPr>
              <w:t xml:space="preserve">(in which </w:t>
            </w:r>
            <w:r w:rsidRPr="00E94088">
              <w:rPr>
                <w:rFonts w:ascii="Arial" w:hAnsi="Arial" w:cs="Arial"/>
                <w:sz w:val="14"/>
                <w:szCs w:val="14"/>
                <w:lang w:val="en-US"/>
              </w:rPr>
              <w:t>Place Committees provide Principal Oversight)</w:t>
            </w:r>
          </w:p>
          <w:p w14:paraId="660310F3"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1.1.1– R</w:t>
            </w:r>
          </w:p>
          <w:p w14:paraId="1EAE2B0C"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1.3 – R</w:t>
            </w:r>
          </w:p>
          <w:p w14:paraId="1AB62D00"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1.6.1 – CYP Alliance</w:t>
            </w:r>
          </w:p>
          <w:p w14:paraId="59E910F8"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1.6.2.1</w:t>
            </w:r>
          </w:p>
          <w:p w14:paraId="5D3CEE3B"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1.6.2.2</w:t>
            </w:r>
          </w:p>
          <w:p w14:paraId="058C3C1B"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1.6.3</w:t>
            </w:r>
          </w:p>
          <w:p w14:paraId="6FEA9625"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1.7</w:t>
            </w:r>
          </w:p>
          <w:p w14:paraId="158F0E71"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1.8 – R</w:t>
            </w:r>
          </w:p>
          <w:p w14:paraId="2C29C86A"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2.1</w:t>
            </w:r>
          </w:p>
          <w:p w14:paraId="59FA494C"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2.7.1 – R</w:t>
            </w:r>
          </w:p>
          <w:p w14:paraId="71DACAB0"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2.12 – R</w:t>
            </w:r>
          </w:p>
          <w:p w14:paraId="719EB938"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3.9</w:t>
            </w:r>
          </w:p>
          <w:p w14:paraId="7134A023"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3.10</w:t>
            </w:r>
          </w:p>
          <w:p w14:paraId="0AF0563B"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4.9 – R</w:t>
            </w:r>
          </w:p>
          <w:p w14:paraId="4128BE1F"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4.11 – R</w:t>
            </w:r>
          </w:p>
          <w:p w14:paraId="531276F0" w14:textId="77777777" w:rsidR="006963A9" w:rsidRDefault="006963A9" w:rsidP="006963A9">
            <w:pPr>
              <w:pStyle w:val="TableParagraph"/>
              <w:ind w:right="133"/>
              <w:rPr>
                <w:rFonts w:ascii="Arial" w:hAnsi="Arial" w:cs="Arial"/>
                <w:sz w:val="18"/>
                <w:szCs w:val="18"/>
                <w:lang w:val="en-US"/>
              </w:rPr>
            </w:pPr>
          </w:p>
          <w:p w14:paraId="0669C090"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Risk Register:</w:t>
            </w:r>
          </w:p>
          <w:p w14:paraId="220D12F4" w14:textId="77777777" w:rsidR="006963A9" w:rsidRPr="00E94088" w:rsidRDefault="006963A9" w:rsidP="006963A9">
            <w:pPr>
              <w:pStyle w:val="TableParagraph"/>
              <w:ind w:right="133"/>
              <w:rPr>
                <w:rFonts w:ascii="Arial" w:hAnsi="Arial" w:cs="Arial"/>
                <w:sz w:val="18"/>
                <w:szCs w:val="18"/>
                <w:lang w:val="en-US"/>
              </w:rPr>
            </w:pPr>
            <w:r w:rsidRPr="00E94088">
              <w:rPr>
                <w:rFonts w:ascii="Arial" w:hAnsi="Arial" w:cs="Arial"/>
                <w:sz w:val="18"/>
                <w:szCs w:val="18"/>
                <w:lang w:val="en-US"/>
              </w:rPr>
              <w:t>SY016</w:t>
            </w:r>
          </w:p>
          <w:p w14:paraId="6A9CEEC8" w14:textId="77777777" w:rsidR="006963A9" w:rsidRPr="00E94088" w:rsidRDefault="006963A9" w:rsidP="006963A9">
            <w:pPr>
              <w:pStyle w:val="TableParagraph"/>
              <w:ind w:right="133"/>
              <w:rPr>
                <w:rFonts w:ascii="Arial" w:hAnsi="Arial" w:cs="Arial"/>
                <w:sz w:val="18"/>
                <w:szCs w:val="18"/>
                <w:lang w:val="en-US"/>
              </w:rPr>
            </w:pPr>
            <w:r w:rsidRPr="00E94088">
              <w:rPr>
                <w:rFonts w:ascii="Arial" w:hAnsi="Arial" w:cs="Arial"/>
                <w:sz w:val="18"/>
                <w:szCs w:val="18"/>
                <w:lang w:val="en-US"/>
              </w:rPr>
              <w:t>SY021</w:t>
            </w:r>
          </w:p>
          <w:p w14:paraId="21816E30" w14:textId="77777777" w:rsidR="006963A9" w:rsidRPr="00E94088" w:rsidRDefault="006963A9" w:rsidP="006963A9">
            <w:pPr>
              <w:pStyle w:val="TableParagraph"/>
              <w:ind w:right="133"/>
              <w:rPr>
                <w:rFonts w:ascii="Arial" w:hAnsi="Arial" w:cs="Arial"/>
                <w:sz w:val="18"/>
                <w:szCs w:val="18"/>
                <w:lang w:val="en-US"/>
              </w:rPr>
            </w:pPr>
            <w:r w:rsidRPr="00E94088">
              <w:rPr>
                <w:rFonts w:ascii="Arial" w:hAnsi="Arial" w:cs="Arial"/>
                <w:sz w:val="18"/>
                <w:szCs w:val="18"/>
                <w:lang w:val="en-US"/>
              </w:rPr>
              <w:t xml:space="preserve">SY040 - </w:t>
            </w:r>
            <w:r>
              <w:rPr>
                <w:rFonts w:ascii="Arial" w:hAnsi="Arial" w:cs="Arial"/>
                <w:sz w:val="18"/>
                <w:szCs w:val="18"/>
                <w:lang w:val="en-US"/>
              </w:rPr>
              <w:t>R</w:t>
            </w:r>
          </w:p>
          <w:p w14:paraId="54F74A97" w14:textId="787B072F" w:rsidR="006963A9" w:rsidRDefault="006963A9" w:rsidP="006963A9">
            <w:pPr>
              <w:pStyle w:val="TableParagraph"/>
              <w:ind w:right="133"/>
              <w:rPr>
                <w:rFonts w:ascii="Arial" w:hAnsi="Arial" w:cs="Arial"/>
                <w:sz w:val="18"/>
                <w:szCs w:val="18"/>
                <w:lang w:val="en-US"/>
              </w:rPr>
            </w:pPr>
            <w:r w:rsidRPr="00E94088">
              <w:rPr>
                <w:rFonts w:ascii="Arial" w:hAnsi="Arial" w:cs="Arial"/>
                <w:sz w:val="18"/>
                <w:szCs w:val="18"/>
                <w:lang w:val="en-US"/>
              </w:rPr>
              <w:t xml:space="preserve">SY042 - </w:t>
            </w:r>
            <w:r>
              <w:rPr>
                <w:rFonts w:ascii="Arial" w:hAnsi="Arial" w:cs="Arial"/>
                <w:sz w:val="18"/>
                <w:szCs w:val="18"/>
                <w:lang w:val="en-US"/>
              </w:rPr>
              <w:t>R</w:t>
            </w:r>
            <w:r w:rsidRPr="00E94088">
              <w:rPr>
                <w:rFonts w:ascii="Arial" w:hAnsi="Arial" w:cs="Arial"/>
                <w:sz w:val="18"/>
                <w:szCs w:val="18"/>
                <w:lang w:val="en-US"/>
              </w:rPr>
              <w:t xml:space="preserve"> </w:t>
            </w:r>
            <w:r>
              <w:rPr>
                <w:rFonts w:ascii="Arial" w:hAnsi="Arial" w:cs="Arial"/>
                <w:sz w:val="18"/>
                <w:szCs w:val="18"/>
                <w:lang w:val="en-US"/>
              </w:rPr>
              <w:br/>
            </w:r>
            <w:r w:rsidRPr="00E94088">
              <w:rPr>
                <w:rFonts w:ascii="Arial" w:hAnsi="Arial" w:cs="Arial"/>
                <w:sz w:val="18"/>
                <w:szCs w:val="18"/>
                <w:lang w:val="en-US"/>
              </w:rPr>
              <w:t xml:space="preserve">SY044 - </w:t>
            </w:r>
            <w:r>
              <w:rPr>
                <w:rFonts w:ascii="Arial" w:hAnsi="Arial" w:cs="Arial"/>
                <w:sz w:val="18"/>
                <w:szCs w:val="18"/>
                <w:lang w:val="en-US"/>
              </w:rPr>
              <w:t>R</w:t>
            </w:r>
            <w:r>
              <w:rPr>
                <w:rFonts w:ascii="Arial" w:hAnsi="Arial" w:cs="Arial"/>
                <w:sz w:val="18"/>
                <w:szCs w:val="18"/>
                <w:lang w:val="en-US"/>
              </w:rPr>
              <w:br/>
            </w:r>
            <w:r w:rsidRPr="00E94088">
              <w:rPr>
                <w:rFonts w:ascii="Arial" w:hAnsi="Arial" w:cs="Arial"/>
                <w:sz w:val="18"/>
                <w:szCs w:val="18"/>
                <w:lang w:val="en-US"/>
              </w:rPr>
              <w:t xml:space="preserve">SY061 </w:t>
            </w:r>
            <w:r>
              <w:rPr>
                <w:rFonts w:ascii="Arial" w:hAnsi="Arial" w:cs="Arial"/>
                <w:sz w:val="18"/>
                <w:szCs w:val="18"/>
                <w:lang w:val="en-US"/>
              </w:rPr>
              <w:br/>
            </w:r>
            <w:r w:rsidRPr="00E94088">
              <w:rPr>
                <w:rFonts w:ascii="Arial" w:hAnsi="Arial" w:cs="Arial"/>
                <w:sz w:val="18"/>
                <w:szCs w:val="18"/>
                <w:lang w:val="en-US"/>
              </w:rPr>
              <w:t xml:space="preserve">SY066 </w:t>
            </w:r>
            <w:r>
              <w:rPr>
                <w:rFonts w:ascii="Arial" w:hAnsi="Arial" w:cs="Arial"/>
                <w:sz w:val="18"/>
                <w:szCs w:val="18"/>
                <w:lang w:val="en-US"/>
              </w:rPr>
              <w:br/>
            </w:r>
            <w:r w:rsidRPr="00E94088">
              <w:rPr>
                <w:rFonts w:ascii="Arial" w:hAnsi="Arial" w:cs="Arial"/>
                <w:sz w:val="18"/>
                <w:szCs w:val="18"/>
                <w:lang w:val="en-US"/>
              </w:rPr>
              <w:t xml:space="preserve">SY082 </w:t>
            </w:r>
            <w:r>
              <w:rPr>
                <w:rFonts w:ascii="Arial" w:hAnsi="Arial" w:cs="Arial"/>
                <w:sz w:val="18"/>
                <w:szCs w:val="18"/>
                <w:lang w:val="en-US"/>
              </w:rPr>
              <w:t>–</w:t>
            </w:r>
            <w:r w:rsidRPr="00E94088">
              <w:rPr>
                <w:rFonts w:ascii="Arial" w:hAnsi="Arial" w:cs="Arial"/>
                <w:sz w:val="18"/>
                <w:szCs w:val="18"/>
                <w:lang w:val="en-US"/>
              </w:rPr>
              <w:t xml:space="preserve"> System</w:t>
            </w:r>
          </w:p>
          <w:p w14:paraId="3C72C1FD" w14:textId="77777777" w:rsidR="006963A9" w:rsidRPr="00E94088" w:rsidRDefault="006963A9" w:rsidP="006963A9">
            <w:pPr>
              <w:pStyle w:val="TableParagraph"/>
              <w:ind w:right="133"/>
              <w:rPr>
                <w:rFonts w:ascii="Arial" w:hAnsi="Arial" w:cs="Arial"/>
                <w:sz w:val="18"/>
                <w:szCs w:val="18"/>
                <w:lang w:val="en-US"/>
              </w:rPr>
            </w:pPr>
            <w:r w:rsidRPr="00E94088">
              <w:rPr>
                <w:rFonts w:ascii="Arial" w:hAnsi="Arial" w:cs="Arial"/>
                <w:sz w:val="18"/>
                <w:szCs w:val="18"/>
                <w:lang w:val="en-US"/>
              </w:rPr>
              <w:t xml:space="preserve">SY107 </w:t>
            </w:r>
            <w:r>
              <w:rPr>
                <w:rFonts w:ascii="Arial" w:hAnsi="Arial" w:cs="Arial"/>
                <w:sz w:val="18"/>
                <w:szCs w:val="18"/>
                <w:lang w:val="en-US"/>
              </w:rPr>
              <w:t>–</w:t>
            </w:r>
            <w:r w:rsidRPr="00E94088">
              <w:rPr>
                <w:rFonts w:ascii="Arial" w:hAnsi="Arial" w:cs="Arial"/>
                <w:sz w:val="18"/>
                <w:szCs w:val="18"/>
                <w:lang w:val="en-US"/>
              </w:rPr>
              <w:t xml:space="preserve"> </w:t>
            </w:r>
            <w:r>
              <w:rPr>
                <w:rFonts w:ascii="Arial" w:hAnsi="Arial" w:cs="Arial"/>
                <w:sz w:val="18"/>
                <w:szCs w:val="18"/>
                <w:lang w:val="en-US"/>
              </w:rPr>
              <w:t>R</w:t>
            </w:r>
          </w:p>
          <w:p w14:paraId="1988CC85" w14:textId="77777777" w:rsidR="006963A9" w:rsidRPr="00E94088" w:rsidRDefault="006963A9" w:rsidP="006963A9">
            <w:pPr>
              <w:pStyle w:val="TableParagraph"/>
              <w:ind w:right="133"/>
              <w:rPr>
                <w:rFonts w:ascii="Arial" w:hAnsi="Arial" w:cs="Arial"/>
                <w:sz w:val="18"/>
                <w:szCs w:val="18"/>
                <w:lang w:val="en-US"/>
              </w:rPr>
            </w:pPr>
            <w:r w:rsidRPr="00E94088">
              <w:rPr>
                <w:rFonts w:ascii="Arial" w:hAnsi="Arial" w:cs="Arial"/>
                <w:sz w:val="18"/>
                <w:szCs w:val="18"/>
                <w:lang w:val="en-US"/>
              </w:rPr>
              <w:t xml:space="preserve">SY113  </w:t>
            </w:r>
          </w:p>
          <w:p w14:paraId="301ADA57" w14:textId="77777777" w:rsidR="006963A9" w:rsidRDefault="006963A9" w:rsidP="006963A9">
            <w:pPr>
              <w:pStyle w:val="TableParagraph"/>
              <w:ind w:right="133"/>
              <w:rPr>
                <w:rFonts w:ascii="Arial" w:hAnsi="Arial" w:cs="Arial"/>
                <w:sz w:val="18"/>
                <w:szCs w:val="18"/>
                <w:lang w:val="en-US"/>
              </w:rPr>
            </w:pPr>
            <w:r w:rsidRPr="00E94088">
              <w:rPr>
                <w:rFonts w:ascii="Arial" w:hAnsi="Arial" w:cs="Arial"/>
                <w:sz w:val="18"/>
                <w:szCs w:val="18"/>
                <w:lang w:val="en-US"/>
              </w:rPr>
              <w:t>SY124</w:t>
            </w:r>
          </w:p>
          <w:p w14:paraId="11371526" w14:textId="25FF66B1"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 xml:space="preserve">SY136 </w:t>
            </w:r>
          </w:p>
          <w:p w14:paraId="2A77E59D" w14:textId="35C8C6AA" w:rsidR="00902760" w:rsidRDefault="00902760" w:rsidP="006963A9">
            <w:pPr>
              <w:pStyle w:val="TableParagraph"/>
              <w:ind w:right="133"/>
              <w:rPr>
                <w:rFonts w:ascii="Arial" w:hAnsi="Arial" w:cs="Arial"/>
                <w:sz w:val="18"/>
                <w:szCs w:val="18"/>
                <w:lang w:val="en-US"/>
              </w:rPr>
            </w:pPr>
            <w:r>
              <w:rPr>
                <w:rFonts w:ascii="Arial" w:hAnsi="Arial" w:cs="Arial"/>
                <w:sz w:val="18"/>
                <w:szCs w:val="18"/>
                <w:lang w:val="en-US"/>
              </w:rPr>
              <w:t>SY140</w:t>
            </w:r>
            <w:r w:rsidR="00024428">
              <w:rPr>
                <w:rFonts w:ascii="Arial" w:hAnsi="Arial" w:cs="Arial"/>
                <w:sz w:val="18"/>
                <w:szCs w:val="18"/>
                <w:lang w:val="en-US"/>
              </w:rPr>
              <w:t xml:space="preserve"> </w:t>
            </w:r>
          </w:p>
          <w:p w14:paraId="0933089B" w14:textId="77777777" w:rsidR="006963A9" w:rsidRDefault="006963A9" w:rsidP="006963A9">
            <w:pPr>
              <w:pStyle w:val="TableParagraph"/>
              <w:ind w:right="133"/>
              <w:rPr>
                <w:rFonts w:ascii="Arial" w:hAnsi="Arial" w:cs="Arial"/>
                <w:sz w:val="18"/>
                <w:szCs w:val="18"/>
                <w:lang w:val="en-US"/>
              </w:rPr>
            </w:pPr>
          </w:p>
          <w:p w14:paraId="05DDE5D3"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Issues –</w:t>
            </w:r>
            <w:r>
              <w:rPr>
                <w:rFonts w:ascii="Arial" w:hAnsi="Arial" w:cs="Arial"/>
                <w:sz w:val="18"/>
                <w:szCs w:val="18"/>
                <w:lang w:val="en-US"/>
              </w:rPr>
              <w:br/>
              <w:t>IL07 – R</w:t>
            </w:r>
          </w:p>
          <w:p w14:paraId="2CC67604"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IL09</w:t>
            </w:r>
          </w:p>
          <w:p w14:paraId="54AA514B" w14:textId="77777777" w:rsidR="006963A9" w:rsidRDefault="006963A9" w:rsidP="006963A9">
            <w:pPr>
              <w:pStyle w:val="TableParagraph"/>
              <w:ind w:right="133"/>
              <w:rPr>
                <w:rFonts w:ascii="Arial" w:hAnsi="Arial" w:cs="Arial"/>
                <w:sz w:val="18"/>
                <w:szCs w:val="18"/>
                <w:lang w:val="en-US"/>
              </w:rPr>
            </w:pPr>
            <w:r>
              <w:rPr>
                <w:rFonts w:ascii="Arial" w:hAnsi="Arial" w:cs="Arial"/>
                <w:sz w:val="18"/>
                <w:szCs w:val="18"/>
                <w:lang w:val="en-US"/>
              </w:rPr>
              <w:t>Il17</w:t>
            </w:r>
          </w:p>
          <w:p w14:paraId="0ECA5A24" w14:textId="24FD7BEB" w:rsidR="006963A9" w:rsidRPr="00A229E8" w:rsidRDefault="006963A9" w:rsidP="006963A9">
            <w:pPr>
              <w:pStyle w:val="TableParagraph"/>
              <w:spacing w:before="120" w:after="120"/>
              <w:rPr>
                <w:rFonts w:ascii="Arial" w:hAnsi="Arial" w:cs="Arial"/>
                <w:sz w:val="18"/>
                <w:szCs w:val="18"/>
              </w:rPr>
            </w:pPr>
            <w:r w:rsidRPr="00D643ED">
              <w:rPr>
                <w:rFonts w:ascii="Arial" w:hAnsi="Arial" w:cs="Arial"/>
                <w:i/>
                <w:iCs/>
                <w:sz w:val="18"/>
                <w:szCs w:val="18"/>
                <w:lang w:val="en-US"/>
              </w:rPr>
              <w:t xml:space="preserve">The latest versions of the ICB’s BAF, risk register  and issues log can be found here </w:t>
            </w:r>
            <w:hyperlink r:id="rId11" w:history="1">
              <w:r w:rsidRPr="00D643ED">
                <w:rPr>
                  <w:rStyle w:val="Hyperlink"/>
                  <w:rFonts w:ascii="Arial" w:hAnsi="Arial" w:cs="Arial"/>
                  <w:i/>
                  <w:iCs/>
                  <w:sz w:val="18"/>
                  <w:szCs w:val="18"/>
                  <w:lang w:val="en-US"/>
                </w:rPr>
                <w:t xml:space="preserve">ICB Risk Registers </w:t>
              </w:r>
              <w:r w:rsidRPr="00D643ED">
                <w:rPr>
                  <w:rStyle w:val="Hyperlink"/>
                  <w:rFonts w:ascii="Arial" w:hAnsi="Arial" w:cs="Arial"/>
                  <w:i/>
                  <w:iCs/>
                  <w:sz w:val="18"/>
                  <w:szCs w:val="18"/>
                  <w:lang w:val="en-US"/>
                </w:rPr>
                <w:lastRenderedPageBreak/>
                <w:t>(sharepoint.com)</w:t>
              </w:r>
            </w:hyperlink>
            <w:r>
              <w:rPr>
                <w:rFonts w:ascii="Arial" w:hAnsi="Arial" w:cs="Arial"/>
                <w:sz w:val="18"/>
                <w:szCs w:val="18"/>
              </w:rPr>
              <w:t xml:space="preserve"> </w:t>
            </w:r>
            <w:r w:rsidRPr="00D643ED">
              <w:rPr>
                <w:rFonts w:ascii="Arial" w:hAnsi="Arial" w:cs="Arial"/>
                <w:i/>
                <w:iCs/>
                <w:sz w:val="18"/>
                <w:szCs w:val="18"/>
                <w:lang w:val="en-US"/>
              </w:rPr>
              <w:t xml:space="preserve">or contact </w:t>
            </w:r>
            <w:hyperlink r:id="rId12" w:history="1">
              <w:r w:rsidRPr="00D643ED">
                <w:rPr>
                  <w:rStyle w:val="Hyperlink"/>
                  <w:rFonts w:ascii="Arial" w:hAnsi="Arial" w:cs="Arial"/>
                  <w:i/>
                  <w:iCs/>
                  <w:sz w:val="18"/>
                  <w:szCs w:val="18"/>
                  <w:lang w:val="en-US"/>
                </w:rPr>
                <w:t>syicb-sheffield.riskmanagement@nhs.net</w:t>
              </w:r>
            </w:hyperlink>
            <w:r w:rsidRPr="00D643ED">
              <w:rPr>
                <w:rFonts w:ascii="Arial" w:hAnsi="Arial" w:cs="Arial"/>
                <w:i/>
                <w:iCs/>
                <w:sz w:val="18"/>
                <w:szCs w:val="18"/>
                <w:lang w:val="en-US"/>
              </w:rPr>
              <w:t xml:space="preserve">  – please refer to these each time you draft a report as the wording of risks could change in-year.</w:t>
            </w:r>
          </w:p>
        </w:tc>
      </w:tr>
    </w:tbl>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tblGrid>
      <w:tr w:rsidR="00BC7693" w14:paraId="63B7359C" w14:textId="77777777" w:rsidTr="00633886">
        <w:trPr>
          <w:trHeight w:val="275"/>
        </w:trPr>
        <w:tc>
          <w:tcPr>
            <w:tcW w:w="9990" w:type="dxa"/>
            <w:shd w:val="clear" w:color="auto" w:fill="DFDFDF"/>
          </w:tcPr>
          <w:p w14:paraId="4A8B793F" w14:textId="77777777" w:rsidR="00BC7693" w:rsidRDefault="00BC7693" w:rsidP="00633886">
            <w:pPr>
              <w:pStyle w:val="TableParagraph"/>
              <w:spacing w:before="120" w:after="120"/>
              <w:ind w:left="107"/>
              <w:rPr>
                <w:rFonts w:ascii="Arial"/>
                <w:b/>
                <w:sz w:val="24"/>
              </w:rPr>
            </w:pPr>
            <w:r>
              <w:rPr>
                <w:rFonts w:ascii="Arial"/>
                <w:b/>
                <w:sz w:val="24"/>
              </w:rPr>
              <w:lastRenderedPageBreak/>
              <w:t>Purpose of Paper</w:t>
            </w:r>
          </w:p>
        </w:tc>
      </w:tr>
      <w:tr w:rsidR="00F90FB2" w14:paraId="716610AC" w14:textId="77777777" w:rsidTr="003F6381">
        <w:trPr>
          <w:trHeight w:val="836"/>
        </w:trPr>
        <w:tc>
          <w:tcPr>
            <w:tcW w:w="9990" w:type="dxa"/>
          </w:tcPr>
          <w:p w14:paraId="069085B4" w14:textId="5297B996" w:rsidR="00F90FB2" w:rsidRPr="009D6046" w:rsidRDefault="00E57228" w:rsidP="00F90FB2">
            <w:pPr>
              <w:spacing w:before="120" w:after="120"/>
              <w:ind w:left="107"/>
              <w:rPr>
                <w:sz w:val="24"/>
              </w:rPr>
            </w:pPr>
            <w:r w:rsidRPr="00AF74A6">
              <w:rPr>
                <w:sz w:val="24"/>
                <w:szCs w:val="24"/>
              </w:rPr>
              <w:t xml:space="preserve">For members to have oversight of the current Risk Management Framework including Board Assurance Framework, Risk Register and Issues Log, </w:t>
            </w:r>
            <w:r>
              <w:rPr>
                <w:sz w:val="24"/>
                <w:szCs w:val="24"/>
              </w:rPr>
              <w:t>following exception reporting on the 2 October 2025</w:t>
            </w:r>
            <w:r w:rsidRPr="00AF74A6">
              <w:rPr>
                <w:sz w:val="24"/>
                <w:szCs w:val="24"/>
              </w:rPr>
              <w:t xml:space="preserve"> as part of the </w:t>
            </w:r>
            <w:r>
              <w:rPr>
                <w:sz w:val="24"/>
                <w:szCs w:val="24"/>
              </w:rPr>
              <w:t>Rotherham Place Executive Team (PET)</w:t>
            </w:r>
            <w:r w:rsidRPr="00AF74A6">
              <w:rPr>
                <w:sz w:val="24"/>
                <w:szCs w:val="24"/>
              </w:rPr>
              <w:t xml:space="preserve"> agenda.</w:t>
            </w:r>
          </w:p>
        </w:tc>
      </w:tr>
      <w:tr w:rsidR="00F90FB2" w14:paraId="090198D0" w14:textId="77777777" w:rsidTr="00633886">
        <w:trPr>
          <w:trHeight w:val="275"/>
        </w:trPr>
        <w:tc>
          <w:tcPr>
            <w:tcW w:w="9990" w:type="dxa"/>
            <w:shd w:val="clear" w:color="auto" w:fill="E6E6E6"/>
          </w:tcPr>
          <w:p w14:paraId="739A7EDB" w14:textId="77777777" w:rsidR="00F90FB2" w:rsidRDefault="00F90FB2" w:rsidP="00F90FB2">
            <w:pPr>
              <w:pStyle w:val="TableParagraph"/>
              <w:spacing w:before="120" w:after="120"/>
              <w:ind w:left="107"/>
              <w:rPr>
                <w:rFonts w:ascii="Arial"/>
                <w:b/>
                <w:sz w:val="24"/>
              </w:rPr>
            </w:pPr>
            <w:r>
              <w:rPr>
                <w:rFonts w:ascii="Arial"/>
                <w:b/>
                <w:sz w:val="24"/>
              </w:rPr>
              <w:t xml:space="preserve">Key Issues / Points to Note </w:t>
            </w:r>
          </w:p>
        </w:tc>
      </w:tr>
      <w:tr w:rsidR="00F90FB2" w14:paraId="5ACB4D74" w14:textId="77777777" w:rsidTr="00633886">
        <w:trPr>
          <w:trHeight w:val="118"/>
        </w:trPr>
        <w:tc>
          <w:tcPr>
            <w:tcW w:w="9990" w:type="dxa"/>
          </w:tcPr>
          <w:p w14:paraId="685767AD" w14:textId="319DC770" w:rsidR="00AB2AD1" w:rsidRPr="00AC3676" w:rsidRDefault="00AB2AD1" w:rsidP="00AB2AD1">
            <w:pPr>
              <w:rPr>
                <w:b/>
                <w:bCs/>
                <w:sz w:val="24"/>
                <w:szCs w:val="24"/>
                <w:lang w:val="en-US" w:eastAsia="en-US"/>
              </w:rPr>
            </w:pPr>
            <w:r w:rsidRPr="00AC3676">
              <w:rPr>
                <w:b/>
                <w:bCs/>
                <w:sz w:val="24"/>
                <w:szCs w:val="24"/>
                <w:lang w:val="en-US" w:eastAsia="en-US"/>
              </w:rPr>
              <w:t>Executive Summary</w:t>
            </w:r>
          </w:p>
          <w:p w14:paraId="7C314098" w14:textId="77777777" w:rsidR="00AB2AD1" w:rsidRPr="00AC3676" w:rsidRDefault="00AB2AD1" w:rsidP="00AB2AD1">
            <w:pPr>
              <w:rPr>
                <w:sz w:val="24"/>
                <w:szCs w:val="24"/>
                <w:lang w:val="en-US" w:eastAsia="en-US"/>
              </w:rPr>
            </w:pPr>
            <w:r w:rsidRPr="00AC3676">
              <w:rPr>
                <w:sz w:val="24"/>
                <w:szCs w:val="24"/>
                <w:lang w:val="en-US" w:eastAsia="en-US"/>
              </w:rPr>
              <w:t xml:space="preserve">The current BAF, RR and IL </w:t>
            </w:r>
            <w:proofErr w:type="gramStart"/>
            <w:r w:rsidRPr="00AC3676">
              <w:rPr>
                <w:sz w:val="24"/>
                <w:szCs w:val="24"/>
                <w:lang w:val="en-US" w:eastAsia="en-US"/>
              </w:rPr>
              <w:t>is</w:t>
            </w:r>
            <w:proofErr w:type="gramEnd"/>
            <w:r w:rsidRPr="00AC3676">
              <w:rPr>
                <w:sz w:val="24"/>
                <w:szCs w:val="24"/>
                <w:lang w:val="en-US" w:eastAsia="en-US"/>
              </w:rPr>
              <w:t xml:space="preserve"> a standing agenda item on the Rotherham P</w:t>
            </w:r>
            <w:r>
              <w:rPr>
                <w:sz w:val="24"/>
                <w:szCs w:val="24"/>
                <w:lang w:val="en-US" w:eastAsia="en-US"/>
              </w:rPr>
              <w:t>lace Board</w:t>
            </w:r>
            <w:r w:rsidRPr="00AC3676">
              <w:rPr>
                <w:sz w:val="24"/>
                <w:szCs w:val="24"/>
                <w:lang w:val="en-US" w:eastAsia="en-US"/>
              </w:rPr>
              <w:t xml:space="preserve"> agenda at each meeting</w:t>
            </w:r>
            <w:r>
              <w:rPr>
                <w:sz w:val="24"/>
                <w:szCs w:val="24"/>
                <w:lang w:val="en-US" w:eastAsia="en-US"/>
              </w:rPr>
              <w:t xml:space="preserve">, following presentation at Rotherham PET. </w:t>
            </w:r>
            <w:r w:rsidRPr="00AC3676">
              <w:rPr>
                <w:sz w:val="24"/>
                <w:szCs w:val="24"/>
              </w:rPr>
              <w:t>A deep dive is conducted on a quarterly basis</w:t>
            </w:r>
            <w:r>
              <w:rPr>
                <w:sz w:val="24"/>
                <w:szCs w:val="24"/>
              </w:rPr>
              <w:t xml:space="preserve"> at PET</w:t>
            </w:r>
            <w:r w:rsidRPr="00AC3676">
              <w:rPr>
                <w:sz w:val="24"/>
                <w:szCs w:val="24"/>
              </w:rPr>
              <w:t xml:space="preserve">, with exception reporting occurring between each deep dive. </w:t>
            </w:r>
            <w:r w:rsidRPr="00AC3676">
              <w:rPr>
                <w:sz w:val="24"/>
                <w:szCs w:val="24"/>
                <w:lang w:val="en-US" w:eastAsia="en-US"/>
              </w:rPr>
              <w:t xml:space="preserve">Risks can be added, amended, or deleted at any time by contacting a member of the risk management team, it doesn’t have to wait for a meeting.  </w:t>
            </w:r>
          </w:p>
          <w:p w14:paraId="05A9D3EA" w14:textId="77777777" w:rsidR="00375D51" w:rsidRDefault="00375D51" w:rsidP="00F90FB2">
            <w:pPr>
              <w:rPr>
                <w:sz w:val="24"/>
                <w:szCs w:val="24"/>
                <w:lang w:val="en-US" w:eastAsia="en-US"/>
              </w:rPr>
            </w:pPr>
          </w:p>
          <w:p w14:paraId="577DBD6B" w14:textId="77777777" w:rsidR="006A0D1F" w:rsidRDefault="006A0D1F" w:rsidP="006A0D1F">
            <w:pPr>
              <w:rPr>
                <w:b/>
                <w:bCs/>
                <w:sz w:val="24"/>
                <w:szCs w:val="24"/>
                <w:lang w:val="en-US" w:eastAsia="en-US"/>
              </w:rPr>
            </w:pPr>
            <w:r w:rsidRPr="007871C8">
              <w:rPr>
                <w:b/>
                <w:bCs/>
                <w:sz w:val="24"/>
                <w:szCs w:val="24"/>
                <w:lang w:val="en-US" w:eastAsia="en-US"/>
              </w:rPr>
              <w:t>Emerging Risks</w:t>
            </w:r>
          </w:p>
          <w:p w14:paraId="0DD89411" w14:textId="77777777" w:rsidR="006A0D1F" w:rsidRPr="007871C8" w:rsidRDefault="006A0D1F" w:rsidP="006A0D1F">
            <w:pPr>
              <w:rPr>
                <w:sz w:val="24"/>
                <w:szCs w:val="24"/>
                <w:lang w:val="en-US" w:eastAsia="en-US"/>
              </w:rPr>
            </w:pPr>
            <w:r>
              <w:rPr>
                <w:sz w:val="24"/>
                <w:szCs w:val="24"/>
                <w:lang w:val="en-US" w:eastAsia="en-US"/>
              </w:rPr>
              <w:t xml:space="preserve">There have been no new risks raised during the reporting period, nor have any seen </w:t>
            </w:r>
            <w:proofErr w:type="gramStart"/>
            <w:r>
              <w:rPr>
                <w:sz w:val="24"/>
                <w:szCs w:val="24"/>
                <w:lang w:val="en-US" w:eastAsia="en-US"/>
              </w:rPr>
              <w:t>a change</w:t>
            </w:r>
            <w:proofErr w:type="gramEnd"/>
            <w:r>
              <w:rPr>
                <w:sz w:val="24"/>
                <w:szCs w:val="24"/>
                <w:lang w:val="en-US" w:eastAsia="en-US"/>
              </w:rPr>
              <w:t xml:space="preserve"> in score. Any risks which have been escalated or increased in score will be featured in </w:t>
            </w:r>
            <w:proofErr w:type="gramStart"/>
            <w:r>
              <w:rPr>
                <w:sz w:val="24"/>
                <w:szCs w:val="24"/>
                <w:lang w:val="en-US" w:eastAsia="en-US"/>
              </w:rPr>
              <w:t>this sections</w:t>
            </w:r>
            <w:proofErr w:type="gramEnd"/>
            <w:r>
              <w:rPr>
                <w:sz w:val="24"/>
                <w:szCs w:val="24"/>
                <w:lang w:val="en-US" w:eastAsia="en-US"/>
              </w:rPr>
              <w:t xml:space="preserve"> in future reports.</w:t>
            </w:r>
          </w:p>
          <w:p w14:paraId="48B50167" w14:textId="77777777" w:rsidR="006A0D1F" w:rsidRPr="00AC3676" w:rsidRDefault="006A0D1F" w:rsidP="006A0D1F">
            <w:pPr>
              <w:rPr>
                <w:sz w:val="24"/>
                <w:szCs w:val="24"/>
                <w:lang w:val="en-US" w:eastAsia="en-US"/>
              </w:rPr>
            </w:pPr>
          </w:p>
          <w:p w14:paraId="6303B338" w14:textId="77777777" w:rsidR="006A0D1F" w:rsidRPr="00AC3676" w:rsidRDefault="006A0D1F" w:rsidP="006A0D1F">
            <w:pPr>
              <w:rPr>
                <w:sz w:val="24"/>
                <w:szCs w:val="24"/>
                <w:lang w:val="en-US" w:eastAsia="en-US"/>
              </w:rPr>
            </w:pPr>
          </w:p>
          <w:p w14:paraId="1FFF4D47" w14:textId="77777777" w:rsidR="006A0D1F" w:rsidRPr="00375D51" w:rsidRDefault="006A0D1F" w:rsidP="006A0D1F">
            <w:pPr>
              <w:rPr>
                <w:b/>
                <w:bCs/>
                <w:sz w:val="24"/>
                <w:szCs w:val="24"/>
                <w:lang w:val="en-US" w:eastAsia="en-US"/>
              </w:rPr>
            </w:pPr>
            <w:r w:rsidRPr="00375D51">
              <w:rPr>
                <w:b/>
                <w:bCs/>
                <w:sz w:val="24"/>
                <w:szCs w:val="24"/>
                <w:lang w:val="en-US" w:eastAsia="en-US"/>
              </w:rPr>
              <w:t>Reporting Development</w:t>
            </w:r>
          </w:p>
          <w:p w14:paraId="20445FC8" w14:textId="77777777" w:rsidR="006A0D1F" w:rsidRPr="00AC3676" w:rsidRDefault="006A0D1F" w:rsidP="006A0D1F">
            <w:pPr>
              <w:rPr>
                <w:sz w:val="24"/>
                <w:szCs w:val="24"/>
                <w:lang w:val="en-US" w:eastAsia="en-US"/>
              </w:rPr>
            </w:pPr>
            <w:r w:rsidRPr="00AC3676">
              <w:rPr>
                <w:sz w:val="24"/>
                <w:szCs w:val="24"/>
                <w:lang w:val="en-US" w:eastAsia="en-US"/>
              </w:rPr>
              <w:t>The Risk report has been reviewed for each of the ICB subcommittees, bringing them to an aligned format presenting the specific risks relevant to each Subcommittee. An overview of Rotherham Place risks that score 12 and above are available in Appendix A. The full Risk profile for Rotherham is available as follows:</w:t>
            </w:r>
          </w:p>
          <w:p w14:paraId="486627E1" w14:textId="77777777" w:rsidR="00F90FB2" w:rsidRPr="00AC3676" w:rsidRDefault="00F90FB2" w:rsidP="00F90FB2">
            <w:pPr>
              <w:rPr>
                <w:sz w:val="24"/>
                <w:szCs w:val="24"/>
                <w:lang w:val="en-US" w:eastAsia="en-US"/>
              </w:rPr>
            </w:pPr>
          </w:p>
          <w:p w14:paraId="2EB5531C" w14:textId="77777777" w:rsidR="00F90FB2" w:rsidRPr="00AC3676" w:rsidRDefault="00F90FB2" w:rsidP="00F90FB2">
            <w:pPr>
              <w:rPr>
                <w:color w:val="FF0000"/>
                <w:sz w:val="24"/>
                <w:szCs w:val="24"/>
                <w:lang w:val="en-US" w:eastAsia="en-US"/>
              </w:rPr>
            </w:pPr>
            <w:r w:rsidRPr="00AC3676">
              <w:rPr>
                <w:sz w:val="24"/>
                <w:szCs w:val="24"/>
                <w:lang w:val="en-US" w:eastAsia="en-US"/>
              </w:rPr>
              <w:t xml:space="preserve">BAF - </w:t>
            </w:r>
            <w:hyperlink r:id="rId13" w:history="1">
              <w:r w:rsidRPr="00AC3676">
                <w:rPr>
                  <w:rStyle w:val="Hyperlink"/>
                  <w:sz w:val="24"/>
                  <w:szCs w:val="24"/>
                </w:rPr>
                <w:t>ICB Risk Registers - BAF - Rotherham - BAF (sharepoint.com)</w:t>
              </w:r>
            </w:hyperlink>
          </w:p>
          <w:p w14:paraId="7D422E23" w14:textId="77777777" w:rsidR="00F90FB2" w:rsidRPr="00AC3676" w:rsidRDefault="00F90FB2" w:rsidP="00F90FB2">
            <w:pPr>
              <w:rPr>
                <w:color w:val="FF0000"/>
                <w:sz w:val="24"/>
                <w:szCs w:val="24"/>
                <w:lang w:val="en-US" w:eastAsia="en-US"/>
              </w:rPr>
            </w:pPr>
            <w:r w:rsidRPr="00AC3676">
              <w:rPr>
                <w:sz w:val="24"/>
                <w:szCs w:val="24"/>
                <w:lang w:val="en-US" w:eastAsia="en-US"/>
              </w:rPr>
              <w:t xml:space="preserve">RISK REGISTER </w:t>
            </w:r>
            <w:hyperlink r:id="rId14" w:history="1">
              <w:r w:rsidRPr="00AC3676">
                <w:rPr>
                  <w:rStyle w:val="Hyperlink"/>
                  <w:sz w:val="24"/>
                  <w:szCs w:val="24"/>
                </w:rPr>
                <w:t>ICB Risk Registers - Risk Register - Rotherham - CRR (sharepoint.com)</w:t>
              </w:r>
            </w:hyperlink>
          </w:p>
          <w:p w14:paraId="6EF0F42A" w14:textId="77777777" w:rsidR="00F90FB2" w:rsidRPr="00AC3676" w:rsidRDefault="00F90FB2" w:rsidP="00F90FB2">
            <w:pPr>
              <w:rPr>
                <w:color w:val="FF0000"/>
                <w:sz w:val="24"/>
                <w:szCs w:val="24"/>
                <w:lang w:val="en-US" w:eastAsia="en-US"/>
              </w:rPr>
            </w:pPr>
            <w:r w:rsidRPr="00AC3676">
              <w:rPr>
                <w:sz w:val="24"/>
                <w:szCs w:val="24"/>
                <w:lang w:val="en-US" w:eastAsia="en-US"/>
              </w:rPr>
              <w:t xml:space="preserve">ISSUES LOG </w:t>
            </w:r>
            <w:hyperlink r:id="rId15" w:history="1">
              <w:r w:rsidRPr="00AC3676">
                <w:rPr>
                  <w:rStyle w:val="Hyperlink"/>
                  <w:sz w:val="24"/>
                  <w:szCs w:val="24"/>
                </w:rPr>
                <w:t>ICB Risk Registers - Issues Log - Rotherham - IL (sharepoint.com)</w:t>
              </w:r>
            </w:hyperlink>
          </w:p>
          <w:p w14:paraId="40C7091C" w14:textId="77777777" w:rsidR="00F90FB2" w:rsidRPr="00AC3676" w:rsidRDefault="00F90FB2" w:rsidP="00F90FB2">
            <w:pPr>
              <w:rPr>
                <w:sz w:val="24"/>
                <w:szCs w:val="24"/>
                <w:lang w:val="en-US" w:eastAsia="en-US"/>
              </w:rPr>
            </w:pPr>
          </w:p>
          <w:p w14:paraId="4F53249D" w14:textId="77777777" w:rsidR="00F90FB2" w:rsidRPr="00610CC8" w:rsidRDefault="00F90FB2" w:rsidP="00F90FB2">
            <w:pPr>
              <w:spacing w:line="259" w:lineRule="auto"/>
              <w:rPr>
                <w:u w:val="single"/>
              </w:rPr>
            </w:pPr>
            <w:r w:rsidRPr="00610CC8">
              <w:rPr>
                <w:u w:val="single"/>
              </w:rPr>
              <w:t>System Risk Register</w:t>
            </w:r>
          </w:p>
          <w:p w14:paraId="43B08476" w14:textId="77777777" w:rsidR="00F90FB2" w:rsidRDefault="00F90FB2" w:rsidP="00F90FB2">
            <w:pPr>
              <w:spacing w:line="259" w:lineRule="auto"/>
            </w:pPr>
            <w:r>
              <w:t>Development is currently paused during the Organisation change process.</w:t>
            </w:r>
          </w:p>
          <w:p w14:paraId="57044B58" w14:textId="0C4F5A55" w:rsidR="00F90FB2" w:rsidRPr="00AC3676" w:rsidRDefault="00F90FB2" w:rsidP="00F90FB2">
            <w:pPr>
              <w:rPr>
                <w:sz w:val="24"/>
                <w:szCs w:val="24"/>
                <w:lang w:val="en-US" w:eastAsia="en-US"/>
              </w:rPr>
            </w:pPr>
            <w:r w:rsidRPr="00AC3676">
              <w:rPr>
                <w:sz w:val="24"/>
                <w:szCs w:val="24"/>
                <w:lang w:val="en-US" w:eastAsia="en-US"/>
              </w:rPr>
              <w:br/>
              <w:t xml:space="preserve">Whilst these are live links it is to be acknowledged the cover paper provides the position as of </w:t>
            </w:r>
            <w:r w:rsidR="00520C96">
              <w:rPr>
                <w:b/>
                <w:bCs/>
                <w:sz w:val="24"/>
                <w:szCs w:val="24"/>
                <w:lang w:val="en-US" w:eastAsia="en-US"/>
              </w:rPr>
              <w:t>9 October 2025</w:t>
            </w:r>
            <w:r w:rsidRPr="00AC3676">
              <w:rPr>
                <w:sz w:val="24"/>
                <w:szCs w:val="24"/>
                <w:lang w:val="en-US" w:eastAsia="en-US"/>
              </w:rPr>
              <w:t xml:space="preserve"> </w:t>
            </w:r>
          </w:p>
        </w:tc>
      </w:tr>
      <w:tr w:rsidR="00F90FB2" w14:paraId="46B02F9F" w14:textId="77777777" w:rsidTr="00633886">
        <w:trPr>
          <w:trHeight w:val="275"/>
        </w:trPr>
        <w:tc>
          <w:tcPr>
            <w:tcW w:w="9990" w:type="dxa"/>
            <w:shd w:val="clear" w:color="auto" w:fill="DFDFDF"/>
          </w:tcPr>
          <w:p w14:paraId="446736DA" w14:textId="77777777" w:rsidR="00F90FB2" w:rsidRDefault="00F90FB2" w:rsidP="00F90FB2">
            <w:pPr>
              <w:pStyle w:val="TableParagraph"/>
              <w:spacing w:before="120" w:after="120"/>
              <w:ind w:left="107"/>
              <w:rPr>
                <w:rFonts w:ascii="Arial"/>
                <w:b/>
                <w:sz w:val="24"/>
              </w:rPr>
            </w:pPr>
            <w:r>
              <w:rPr>
                <w:rFonts w:ascii="Arial"/>
                <w:b/>
                <w:sz w:val="24"/>
              </w:rPr>
              <w:t>Is your report for Approval / Consideration / Noting</w:t>
            </w:r>
          </w:p>
        </w:tc>
      </w:tr>
      <w:tr w:rsidR="00F90FB2" w14:paraId="0EEA3193" w14:textId="77777777" w:rsidTr="00633886">
        <w:trPr>
          <w:trHeight w:val="412"/>
        </w:trPr>
        <w:tc>
          <w:tcPr>
            <w:tcW w:w="9990" w:type="dxa"/>
          </w:tcPr>
          <w:p w14:paraId="701FCC36" w14:textId="77777777" w:rsidR="00F90FB2" w:rsidRDefault="00F90FB2" w:rsidP="00F90FB2">
            <w:pPr>
              <w:pStyle w:val="TableParagraph"/>
              <w:spacing w:before="120" w:after="120"/>
              <w:ind w:left="107"/>
              <w:rPr>
                <w:rFonts w:ascii="Arial"/>
                <w:sz w:val="24"/>
              </w:rPr>
            </w:pPr>
            <w:r w:rsidRPr="00B15E0E">
              <w:rPr>
                <w:rFonts w:ascii="Arial" w:hAnsi="Arial" w:cs="Arial"/>
                <w:bCs/>
              </w:rPr>
              <w:t>For Consideration - An item of business that requires discussion by the Committee prior to agreement of a formal decision or a general policy steer to the executive officers</w:t>
            </w:r>
          </w:p>
        </w:tc>
      </w:tr>
      <w:tr w:rsidR="00F90FB2" w14:paraId="4B69BDE8" w14:textId="77777777" w:rsidTr="00633886">
        <w:trPr>
          <w:trHeight w:val="275"/>
        </w:trPr>
        <w:tc>
          <w:tcPr>
            <w:tcW w:w="9990" w:type="dxa"/>
            <w:shd w:val="clear" w:color="auto" w:fill="E6E6E6"/>
          </w:tcPr>
          <w:p w14:paraId="497C94EA" w14:textId="77777777" w:rsidR="00F90FB2" w:rsidRDefault="00F90FB2" w:rsidP="00F90FB2">
            <w:pPr>
              <w:pStyle w:val="TableParagraph"/>
              <w:spacing w:before="120" w:after="120"/>
              <w:ind w:left="107"/>
              <w:rPr>
                <w:rFonts w:ascii="Arial"/>
                <w:b/>
                <w:sz w:val="24"/>
              </w:rPr>
            </w:pPr>
            <w:r>
              <w:rPr>
                <w:rFonts w:ascii="Arial"/>
                <w:b/>
                <w:sz w:val="24"/>
              </w:rPr>
              <w:t xml:space="preserve">Recommendations / Action Required by the Committee </w:t>
            </w:r>
          </w:p>
        </w:tc>
      </w:tr>
      <w:tr w:rsidR="00F90FB2" w14:paraId="0ADE7608" w14:textId="77777777" w:rsidTr="00633886">
        <w:trPr>
          <w:trHeight w:val="841"/>
        </w:trPr>
        <w:tc>
          <w:tcPr>
            <w:tcW w:w="9990" w:type="dxa"/>
          </w:tcPr>
          <w:p w14:paraId="32A75283" w14:textId="77777777" w:rsidR="00F90FB2" w:rsidRPr="00B15E0E" w:rsidRDefault="00F90FB2" w:rsidP="00F90FB2">
            <w:pPr>
              <w:pStyle w:val="TableParagraph"/>
              <w:tabs>
                <w:tab w:val="left" w:pos="828"/>
              </w:tabs>
              <w:ind w:right="852"/>
              <w:rPr>
                <w:rFonts w:ascii="Arial" w:hAnsi="Arial" w:cs="Arial"/>
              </w:rPr>
            </w:pPr>
            <w:r w:rsidRPr="00B15E0E">
              <w:rPr>
                <w:rFonts w:ascii="Arial" w:hAnsi="Arial" w:cs="Arial"/>
              </w:rPr>
              <w:t>Members are asked to:</w:t>
            </w:r>
          </w:p>
          <w:p w14:paraId="58152E46" w14:textId="209DC463" w:rsidR="00F90FB2" w:rsidRDefault="00F90FB2" w:rsidP="00F90FB2">
            <w:pPr>
              <w:pStyle w:val="ListParagraph"/>
              <w:widowControl/>
              <w:numPr>
                <w:ilvl w:val="2"/>
                <w:numId w:val="6"/>
              </w:numPr>
              <w:tabs>
                <w:tab w:val="left" w:pos="720"/>
                <w:tab w:val="left" w:pos="1440"/>
                <w:tab w:val="left" w:pos="2160"/>
                <w:tab w:val="right" w:pos="9270"/>
              </w:tabs>
              <w:autoSpaceDE/>
              <w:contextualSpacing/>
            </w:pPr>
            <w:r w:rsidRPr="00B15E0E">
              <w:t xml:space="preserve">Review the collated SY ICB Risk Register and Issues Log for Quarter </w:t>
            </w:r>
            <w:proofErr w:type="gramStart"/>
            <w:r w:rsidR="00520C96">
              <w:t>3</w:t>
            </w:r>
            <w:r w:rsidRPr="00B15E0E">
              <w:t>;</w:t>
            </w:r>
            <w:proofErr w:type="gramEnd"/>
            <w:r w:rsidRPr="00B15E0E">
              <w:t xml:space="preserve"> </w:t>
            </w:r>
          </w:p>
          <w:p w14:paraId="3F9D2698" w14:textId="77777777" w:rsidR="00F90FB2" w:rsidRPr="004A6AD9" w:rsidRDefault="00F90FB2" w:rsidP="00F90FB2">
            <w:pPr>
              <w:pStyle w:val="ListParagraph"/>
              <w:widowControl/>
              <w:numPr>
                <w:ilvl w:val="2"/>
                <w:numId w:val="6"/>
              </w:numPr>
              <w:tabs>
                <w:tab w:val="left" w:pos="720"/>
                <w:tab w:val="left" w:pos="1440"/>
                <w:tab w:val="left" w:pos="2160"/>
                <w:tab w:val="right" w:pos="9270"/>
              </w:tabs>
              <w:autoSpaceDE/>
              <w:contextualSpacing/>
            </w:pPr>
            <w:r w:rsidRPr="00B15E0E">
              <w:t>Support the ongoing development of the BAF, Risk Register and Issues log.</w:t>
            </w:r>
          </w:p>
        </w:tc>
      </w:tr>
      <w:tr w:rsidR="00F90FB2" w14:paraId="4D3D4A7B" w14:textId="77777777" w:rsidTr="00633886">
        <w:trPr>
          <w:trHeight w:val="275"/>
        </w:trPr>
        <w:tc>
          <w:tcPr>
            <w:tcW w:w="9990" w:type="dxa"/>
            <w:shd w:val="clear" w:color="auto" w:fill="DFDFDF"/>
          </w:tcPr>
          <w:p w14:paraId="1362B819" w14:textId="77777777" w:rsidR="00F90FB2" w:rsidRDefault="00F90FB2" w:rsidP="00F90FB2">
            <w:pPr>
              <w:pStyle w:val="TableParagraph"/>
              <w:spacing w:before="120" w:after="120"/>
              <w:ind w:left="107"/>
              <w:rPr>
                <w:rFonts w:ascii="Arial"/>
                <w:b/>
                <w:sz w:val="24"/>
              </w:rPr>
            </w:pPr>
            <w:r>
              <w:rPr>
                <w:rFonts w:ascii="Arial"/>
                <w:b/>
                <w:sz w:val="24"/>
              </w:rPr>
              <w:t>Board Assurance Framework</w:t>
            </w:r>
          </w:p>
        </w:tc>
      </w:tr>
      <w:tr w:rsidR="00F90FB2" w14:paraId="2C7AFBE2" w14:textId="77777777" w:rsidTr="00633886">
        <w:trPr>
          <w:trHeight w:val="714"/>
        </w:trPr>
        <w:tc>
          <w:tcPr>
            <w:tcW w:w="9990" w:type="dxa"/>
          </w:tcPr>
          <w:p w14:paraId="435F41C0" w14:textId="77777777" w:rsidR="00F90FB2" w:rsidRDefault="00F90FB2" w:rsidP="00F90FB2">
            <w:pPr>
              <w:spacing w:before="120" w:after="120"/>
              <w:ind w:left="58"/>
              <w:rPr>
                <w:sz w:val="24"/>
                <w:szCs w:val="24"/>
              </w:rPr>
            </w:pPr>
            <w:r w:rsidRPr="00655A04">
              <w:rPr>
                <w:sz w:val="24"/>
                <w:szCs w:val="24"/>
              </w:rPr>
              <w:t>This report provides assurance against the following corporate priorities on the Board Assurance Framework (</w:t>
            </w:r>
            <w:r w:rsidRPr="00655A04">
              <w:rPr>
                <w:i/>
                <w:sz w:val="24"/>
                <w:szCs w:val="24"/>
              </w:rPr>
              <w:t>place</w:t>
            </w:r>
            <w:r w:rsidRPr="00655A04">
              <w:rPr>
                <w:sz w:val="24"/>
                <w:szCs w:val="24"/>
              </w:rPr>
              <w:t xml:space="preserve"> </w:t>
            </w:r>
            <w:r w:rsidRPr="00655A04">
              <w:rPr>
                <w:rFonts w:ascii="Wingdings" w:eastAsia="Wingdings" w:hAnsi="Wingdings" w:cs="Wingdings"/>
                <w:b/>
                <w:sz w:val="24"/>
                <w:szCs w:val="24"/>
                <w:shd w:val="clear" w:color="auto" w:fill="DBE5F1" w:themeFill="accent1" w:themeFillTint="33"/>
              </w:rPr>
              <w:t>ü</w:t>
            </w:r>
            <w:r w:rsidRPr="00655A04">
              <w:rPr>
                <w:sz w:val="24"/>
                <w:szCs w:val="24"/>
                <w:shd w:val="clear" w:color="auto" w:fill="DBE5F1" w:themeFill="accent1" w:themeFillTint="33"/>
              </w:rPr>
              <w:t xml:space="preserve"> </w:t>
            </w:r>
            <w:r w:rsidRPr="00655A04">
              <w:rPr>
                <w:i/>
                <w:sz w:val="24"/>
                <w:szCs w:val="24"/>
              </w:rPr>
              <w:t>beside all that apply</w:t>
            </w:r>
            <w:r w:rsidRPr="00655A04">
              <w:rPr>
                <w:sz w:val="24"/>
                <w:szCs w:val="24"/>
              </w:rPr>
              <w:t>):</w:t>
            </w:r>
          </w:p>
          <w:tbl>
            <w:tblPr>
              <w:tblStyle w:val="TableGrid"/>
              <w:tblW w:w="0" w:type="auto"/>
              <w:tblLayout w:type="fixed"/>
              <w:tblLook w:val="04A0" w:firstRow="1" w:lastRow="0" w:firstColumn="1" w:lastColumn="0" w:noHBand="0" w:noVBand="1"/>
            </w:tblPr>
            <w:tblGrid>
              <w:gridCol w:w="4261"/>
              <w:gridCol w:w="673"/>
              <w:gridCol w:w="4288"/>
              <w:gridCol w:w="646"/>
            </w:tblGrid>
            <w:tr w:rsidR="00F90FB2" w14:paraId="3899C00F" w14:textId="77777777" w:rsidTr="00633886">
              <w:tc>
                <w:tcPr>
                  <w:tcW w:w="4261" w:type="dxa"/>
                </w:tcPr>
                <w:p w14:paraId="386A4043" w14:textId="77777777" w:rsidR="00F90FB2" w:rsidRDefault="00F90FB2" w:rsidP="00F90FB2">
                  <w:pPr>
                    <w:spacing w:before="120" w:after="120"/>
                    <w:rPr>
                      <w:sz w:val="24"/>
                      <w:szCs w:val="24"/>
                    </w:rPr>
                  </w:pPr>
                  <w:r>
                    <w:rPr>
                      <w:sz w:val="24"/>
                      <w:szCs w:val="24"/>
                    </w:rPr>
                    <w:t xml:space="preserve">Priority 1 - </w:t>
                  </w:r>
                  <w:r w:rsidRPr="005B1542">
                    <w:rPr>
                      <w:sz w:val="24"/>
                      <w:szCs w:val="24"/>
                    </w:rPr>
                    <w:t>Improving outcomes in population health and health care</w:t>
                  </w:r>
                  <w:r>
                    <w:rPr>
                      <w:sz w:val="24"/>
                      <w:szCs w:val="24"/>
                    </w:rPr>
                    <w:t>.</w:t>
                  </w:r>
                </w:p>
              </w:tc>
              <w:tc>
                <w:tcPr>
                  <w:tcW w:w="673" w:type="dxa"/>
                  <w:shd w:val="clear" w:color="auto" w:fill="DBE5F1" w:themeFill="accent1" w:themeFillTint="33"/>
                </w:tcPr>
                <w:p w14:paraId="5F301830" w14:textId="77777777" w:rsidR="00F90FB2" w:rsidRDefault="00F90FB2" w:rsidP="00F90FB2">
                  <w:pPr>
                    <w:spacing w:before="120" w:after="120"/>
                    <w:jc w:val="center"/>
                    <w:rPr>
                      <w:sz w:val="24"/>
                      <w:szCs w:val="24"/>
                    </w:rPr>
                  </w:pPr>
                  <w:r w:rsidRPr="00803620">
                    <w:rPr>
                      <w:rFonts w:ascii="Wingdings" w:eastAsia="Wingdings" w:hAnsi="Wingdings" w:cs="Wingdings"/>
                      <w:b/>
                      <w:bCs/>
                      <w:color w:val="000000" w:themeColor="text1"/>
                      <w:sz w:val="24"/>
                      <w:szCs w:val="24"/>
                    </w:rPr>
                    <w:t>ü</w:t>
                  </w:r>
                </w:p>
              </w:tc>
              <w:tc>
                <w:tcPr>
                  <w:tcW w:w="4288" w:type="dxa"/>
                </w:tcPr>
                <w:p w14:paraId="531CDF13" w14:textId="77777777" w:rsidR="00F90FB2" w:rsidRDefault="00F90FB2" w:rsidP="00F90FB2">
                  <w:pPr>
                    <w:spacing w:before="120" w:after="120"/>
                    <w:rPr>
                      <w:sz w:val="24"/>
                      <w:szCs w:val="24"/>
                    </w:rPr>
                  </w:pPr>
                  <w:r>
                    <w:rPr>
                      <w:sz w:val="24"/>
                      <w:szCs w:val="24"/>
                    </w:rPr>
                    <w:t xml:space="preserve">Priority 2 - </w:t>
                  </w:r>
                  <w:r w:rsidRPr="005B1542">
                    <w:rPr>
                      <w:sz w:val="24"/>
                      <w:szCs w:val="24"/>
                    </w:rPr>
                    <w:t>Tackling inequalities in outcomes, experience, and access</w:t>
                  </w:r>
                  <w:r>
                    <w:rPr>
                      <w:sz w:val="24"/>
                      <w:szCs w:val="24"/>
                    </w:rPr>
                    <w:t>.</w:t>
                  </w:r>
                </w:p>
              </w:tc>
              <w:tc>
                <w:tcPr>
                  <w:tcW w:w="646" w:type="dxa"/>
                  <w:shd w:val="clear" w:color="auto" w:fill="DBE5F1" w:themeFill="accent1" w:themeFillTint="33"/>
                </w:tcPr>
                <w:p w14:paraId="15A6BC7D" w14:textId="77777777" w:rsidR="00F90FB2" w:rsidRDefault="00F90FB2" w:rsidP="00F90FB2">
                  <w:pPr>
                    <w:spacing w:before="120" w:after="120"/>
                    <w:jc w:val="center"/>
                    <w:rPr>
                      <w:sz w:val="24"/>
                      <w:szCs w:val="24"/>
                    </w:rPr>
                  </w:pPr>
                  <w:r w:rsidRPr="00CE7C38">
                    <w:rPr>
                      <w:rFonts w:ascii="Wingdings" w:eastAsia="Wingdings" w:hAnsi="Wingdings" w:cs="Wingdings"/>
                      <w:b/>
                      <w:bCs/>
                      <w:color w:val="000000" w:themeColor="text1"/>
                      <w:sz w:val="24"/>
                      <w:szCs w:val="24"/>
                    </w:rPr>
                    <w:t>ü</w:t>
                  </w:r>
                </w:p>
              </w:tc>
            </w:tr>
            <w:tr w:rsidR="00F90FB2" w14:paraId="3253897C" w14:textId="77777777" w:rsidTr="00633886">
              <w:tc>
                <w:tcPr>
                  <w:tcW w:w="4261" w:type="dxa"/>
                </w:tcPr>
                <w:p w14:paraId="7D69BF36" w14:textId="77777777" w:rsidR="00F90FB2" w:rsidRDefault="00F90FB2" w:rsidP="00F90FB2">
                  <w:pPr>
                    <w:spacing w:before="120" w:after="120"/>
                    <w:rPr>
                      <w:sz w:val="24"/>
                      <w:szCs w:val="24"/>
                    </w:rPr>
                  </w:pPr>
                  <w:r>
                    <w:rPr>
                      <w:sz w:val="24"/>
                      <w:szCs w:val="24"/>
                    </w:rPr>
                    <w:t xml:space="preserve">Priority 3 - </w:t>
                  </w:r>
                  <w:r w:rsidRPr="005B1542">
                    <w:rPr>
                      <w:sz w:val="24"/>
                      <w:szCs w:val="24"/>
                    </w:rPr>
                    <w:t>Enhancing productivity and value for money</w:t>
                  </w:r>
                  <w:r>
                    <w:rPr>
                      <w:sz w:val="24"/>
                      <w:szCs w:val="24"/>
                    </w:rPr>
                    <w:t>.</w:t>
                  </w:r>
                </w:p>
              </w:tc>
              <w:tc>
                <w:tcPr>
                  <w:tcW w:w="673" w:type="dxa"/>
                  <w:shd w:val="clear" w:color="auto" w:fill="DBE5F1" w:themeFill="accent1" w:themeFillTint="33"/>
                </w:tcPr>
                <w:p w14:paraId="5CD96A8F" w14:textId="77777777" w:rsidR="00F90FB2" w:rsidRDefault="00F90FB2" w:rsidP="00F90FB2">
                  <w:pPr>
                    <w:spacing w:before="120" w:after="120"/>
                    <w:jc w:val="center"/>
                    <w:rPr>
                      <w:sz w:val="24"/>
                      <w:szCs w:val="24"/>
                    </w:rPr>
                  </w:pPr>
                  <w:r w:rsidRPr="00803620">
                    <w:rPr>
                      <w:rFonts w:ascii="Wingdings" w:eastAsia="Wingdings" w:hAnsi="Wingdings" w:cs="Wingdings"/>
                      <w:b/>
                      <w:bCs/>
                      <w:color w:val="000000" w:themeColor="text1"/>
                      <w:sz w:val="24"/>
                      <w:szCs w:val="24"/>
                    </w:rPr>
                    <w:t>ü</w:t>
                  </w:r>
                </w:p>
              </w:tc>
              <w:tc>
                <w:tcPr>
                  <w:tcW w:w="4288" w:type="dxa"/>
                </w:tcPr>
                <w:p w14:paraId="1BD9D82D" w14:textId="77777777" w:rsidR="00F90FB2" w:rsidRDefault="00F90FB2" w:rsidP="00F90FB2">
                  <w:pPr>
                    <w:spacing w:before="120" w:after="120"/>
                    <w:rPr>
                      <w:sz w:val="24"/>
                      <w:szCs w:val="24"/>
                    </w:rPr>
                  </w:pPr>
                  <w:r>
                    <w:rPr>
                      <w:sz w:val="24"/>
                      <w:szCs w:val="24"/>
                    </w:rPr>
                    <w:t xml:space="preserve">Priority 4 - </w:t>
                  </w:r>
                  <w:r w:rsidRPr="005B1542">
                    <w:rPr>
                      <w:sz w:val="24"/>
                      <w:szCs w:val="24"/>
                    </w:rPr>
                    <w:t>Helping the NHS to support broader social and economic development</w:t>
                  </w:r>
                  <w:r>
                    <w:rPr>
                      <w:sz w:val="24"/>
                      <w:szCs w:val="24"/>
                    </w:rPr>
                    <w:t>.</w:t>
                  </w:r>
                </w:p>
              </w:tc>
              <w:tc>
                <w:tcPr>
                  <w:tcW w:w="646" w:type="dxa"/>
                  <w:shd w:val="clear" w:color="auto" w:fill="DBE5F1" w:themeFill="accent1" w:themeFillTint="33"/>
                </w:tcPr>
                <w:p w14:paraId="0F47033A" w14:textId="77777777" w:rsidR="00F90FB2" w:rsidRDefault="00F90FB2" w:rsidP="00F90FB2">
                  <w:pPr>
                    <w:spacing w:before="120" w:after="120"/>
                    <w:jc w:val="center"/>
                    <w:rPr>
                      <w:sz w:val="24"/>
                      <w:szCs w:val="24"/>
                    </w:rPr>
                  </w:pPr>
                  <w:r w:rsidRPr="00CE7C38">
                    <w:rPr>
                      <w:rFonts w:ascii="Wingdings" w:eastAsia="Wingdings" w:hAnsi="Wingdings" w:cs="Wingdings"/>
                      <w:b/>
                      <w:bCs/>
                      <w:color w:val="000000" w:themeColor="text1"/>
                      <w:sz w:val="24"/>
                      <w:szCs w:val="24"/>
                    </w:rPr>
                    <w:t>ü</w:t>
                  </w:r>
                </w:p>
              </w:tc>
            </w:tr>
          </w:tbl>
          <w:p w14:paraId="49CE237A" w14:textId="77777777" w:rsidR="00F90FB2" w:rsidRDefault="00F90FB2" w:rsidP="00F90FB2">
            <w:pPr>
              <w:pStyle w:val="TableParagraph"/>
              <w:spacing w:before="120" w:after="120"/>
              <w:ind w:left="144"/>
              <w:rPr>
                <w:rFonts w:ascii="Arial"/>
                <w:sz w:val="24"/>
              </w:rPr>
            </w:pPr>
            <w:r>
              <w:rPr>
                <w:rFonts w:ascii="Arial"/>
                <w:sz w:val="24"/>
              </w:rPr>
              <w:t>In addition, th</w:t>
            </w:r>
            <w:r w:rsidRPr="006637EA">
              <w:rPr>
                <w:rFonts w:ascii="Arial"/>
                <w:sz w:val="24"/>
              </w:rPr>
              <w:t xml:space="preserve">is report </w:t>
            </w:r>
            <w:r>
              <w:rPr>
                <w:rFonts w:ascii="Arial"/>
                <w:sz w:val="24"/>
              </w:rPr>
              <w:t xml:space="preserve">also </w:t>
            </w:r>
            <w:r w:rsidRPr="006637EA">
              <w:rPr>
                <w:rFonts w:ascii="Arial"/>
                <w:sz w:val="24"/>
              </w:rPr>
              <w:t xml:space="preserve">provides </w:t>
            </w:r>
            <w:r>
              <w:rPr>
                <w:rFonts w:ascii="Arial"/>
                <w:sz w:val="24"/>
              </w:rPr>
              <w:t xml:space="preserve">evidence </w:t>
            </w:r>
            <w:r w:rsidRPr="006637EA">
              <w:rPr>
                <w:rFonts w:ascii="Arial"/>
                <w:sz w:val="24"/>
              </w:rPr>
              <w:t xml:space="preserve">against the following corporate </w:t>
            </w:r>
            <w:r>
              <w:rPr>
                <w:rFonts w:ascii="Arial"/>
                <w:sz w:val="24"/>
              </w:rPr>
              <w:t xml:space="preserve">goals </w:t>
            </w:r>
            <w:r w:rsidRPr="006637EA">
              <w:rPr>
                <w:rFonts w:ascii="Arial"/>
                <w:sz w:val="24"/>
              </w:rPr>
              <w:t xml:space="preserve">(place </w:t>
            </w:r>
            <w:r w:rsidRPr="00655A04">
              <w:rPr>
                <w:rFonts w:ascii="Wingdings" w:eastAsia="Wingdings" w:hAnsi="Wingdings" w:cs="Wingdings"/>
                <w:b/>
                <w:sz w:val="24"/>
                <w:szCs w:val="24"/>
                <w:shd w:val="clear" w:color="auto" w:fill="DBE5F1" w:themeFill="accent1" w:themeFillTint="33"/>
              </w:rPr>
              <w:t>ü</w:t>
            </w:r>
            <w:r w:rsidRPr="00655A04">
              <w:rPr>
                <w:sz w:val="24"/>
                <w:szCs w:val="24"/>
                <w:shd w:val="clear" w:color="auto" w:fill="DBE5F1" w:themeFill="accent1" w:themeFillTint="33"/>
              </w:rPr>
              <w:t xml:space="preserve"> </w:t>
            </w:r>
            <w:r w:rsidRPr="006637EA">
              <w:rPr>
                <w:rFonts w:ascii="Arial"/>
                <w:sz w:val="24"/>
              </w:rPr>
              <w:t>beside all that apply):</w:t>
            </w:r>
          </w:p>
          <w:tbl>
            <w:tblPr>
              <w:tblStyle w:val="TableGrid"/>
              <w:tblW w:w="0" w:type="auto"/>
              <w:tblLayout w:type="fixed"/>
              <w:tblLook w:val="04A0" w:firstRow="1" w:lastRow="0" w:firstColumn="1" w:lastColumn="0" w:noHBand="0" w:noVBand="1"/>
            </w:tblPr>
            <w:tblGrid>
              <w:gridCol w:w="8797"/>
              <w:gridCol w:w="1071"/>
            </w:tblGrid>
            <w:tr w:rsidR="00F90FB2" w14:paraId="758DFAA0" w14:textId="77777777" w:rsidTr="00633886">
              <w:tc>
                <w:tcPr>
                  <w:tcW w:w="8797" w:type="dxa"/>
                </w:tcPr>
                <w:p w14:paraId="0433D977" w14:textId="77777777" w:rsidR="00F90FB2" w:rsidRPr="00CB018E" w:rsidRDefault="00F90FB2" w:rsidP="00F90FB2">
                  <w:pPr>
                    <w:spacing w:before="120" w:after="120"/>
                    <w:ind w:left="30"/>
                    <w:rPr>
                      <w:b/>
                      <w:bCs/>
                      <w:sz w:val="24"/>
                      <w:szCs w:val="24"/>
                    </w:rPr>
                  </w:pPr>
                  <w:r w:rsidRPr="006637EA">
                    <w:rPr>
                      <w:b/>
                      <w:bCs/>
                      <w:sz w:val="24"/>
                      <w:szCs w:val="24"/>
                    </w:rPr>
                    <w:t>Goal 1 – Inspired Colleagues</w:t>
                  </w:r>
                  <w:r>
                    <w:rPr>
                      <w:b/>
                      <w:bCs/>
                      <w:sz w:val="24"/>
                      <w:szCs w:val="24"/>
                    </w:rPr>
                    <w:t xml:space="preserve">: </w:t>
                  </w:r>
                  <w:r>
                    <w:rPr>
                      <w:sz w:val="24"/>
                      <w:szCs w:val="24"/>
                    </w:rPr>
                    <w:t xml:space="preserve">To make our organisation a great place to work where everyone belongs and makes a difference </w:t>
                  </w:r>
                </w:p>
              </w:tc>
              <w:tc>
                <w:tcPr>
                  <w:tcW w:w="1071" w:type="dxa"/>
                  <w:shd w:val="clear" w:color="auto" w:fill="DBE5F1" w:themeFill="accent1" w:themeFillTint="33"/>
                </w:tcPr>
                <w:p w14:paraId="542A4B0C" w14:textId="77777777" w:rsidR="00F90FB2" w:rsidRDefault="00F90FB2" w:rsidP="00F90FB2">
                  <w:pPr>
                    <w:spacing w:before="120" w:after="120"/>
                    <w:ind w:left="144"/>
                    <w:jc w:val="center"/>
                    <w:rPr>
                      <w:rFonts w:ascii="Wingdings" w:eastAsia="Wingdings" w:hAnsi="Wingdings" w:cs="Wingdings"/>
                      <w:sz w:val="24"/>
                      <w:szCs w:val="24"/>
                    </w:rPr>
                  </w:pPr>
                  <w:r w:rsidRPr="185F6674">
                    <w:rPr>
                      <w:rFonts w:ascii="Wingdings" w:eastAsia="Wingdings" w:hAnsi="Wingdings" w:cs="Wingdings"/>
                      <w:b/>
                      <w:bCs/>
                      <w:color w:val="000000" w:themeColor="text1"/>
                      <w:sz w:val="24"/>
                      <w:szCs w:val="24"/>
                    </w:rPr>
                    <w:t>ü</w:t>
                  </w:r>
                </w:p>
              </w:tc>
            </w:tr>
            <w:tr w:rsidR="00F90FB2" w14:paraId="794D2796" w14:textId="77777777" w:rsidTr="00633886">
              <w:tc>
                <w:tcPr>
                  <w:tcW w:w="8797" w:type="dxa"/>
                </w:tcPr>
                <w:p w14:paraId="62D4C236" w14:textId="77777777" w:rsidR="00F90FB2" w:rsidRDefault="00F90FB2" w:rsidP="00F90FB2">
                  <w:pPr>
                    <w:spacing w:before="120" w:after="120"/>
                    <w:ind w:left="30"/>
                    <w:rPr>
                      <w:sz w:val="24"/>
                      <w:szCs w:val="24"/>
                    </w:rPr>
                  </w:pPr>
                  <w:r w:rsidRPr="006637EA">
                    <w:rPr>
                      <w:b/>
                      <w:bCs/>
                      <w:sz w:val="24"/>
                      <w:szCs w:val="24"/>
                    </w:rPr>
                    <w:t>Goal 2 – Integrated Care:</w:t>
                  </w:r>
                  <w:r>
                    <w:rPr>
                      <w:sz w:val="24"/>
                      <w:szCs w:val="24"/>
                    </w:rPr>
                    <w:t xml:space="preserve"> To relentlessly tackle health inequalities and to support people to take charge of their own health and wellbeing. </w:t>
                  </w:r>
                </w:p>
              </w:tc>
              <w:tc>
                <w:tcPr>
                  <w:tcW w:w="1071" w:type="dxa"/>
                  <w:shd w:val="clear" w:color="auto" w:fill="DBE5F1" w:themeFill="accent1" w:themeFillTint="33"/>
                </w:tcPr>
                <w:p w14:paraId="172B75A6" w14:textId="77777777" w:rsidR="00F90FB2" w:rsidRDefault="00F90FB2" w:rsidP="00F90FB2">
                  <w:pPr>
                    <w:spacing w:before="120" w:after="120"/>
                    <w:ind w:left="144"/>
                    <w:jc w:val="center"/>
                    <w:rPr>
                      <w:sz w:val="24"/>
                      <w:szCs w:val="24"/>
                    </w:rPr>
                  </w:pPr>
                  <w:r w:rsidRPr="185F6674">
                    <w:rPr>
                      <w:rFonts w:ascii="Wingdings" w:eastAsia="Wingdings" w:hAnsi="Wingdings" w:cs="Wingdings"/>
                      <w:b/>
                      <w:bCs/>
                      <w:color w:val="000000" w:themeColor="text1"/>
                      <w:sz w:val="24"/>
                      <w:szCs w:val="24"/>
                    </w:rPr>
                    <w:t>ü</w:t>
                  </w:r>
                </w:p>
              </w:tc>
            </w:tr>
            <w:tr w:rsidR="00F90FB2" w14:paraId="29986646" w14:textId="77777777" w:rsidTr="00633886">
              <w:tc>
                <w:tcPr>
                  <w:tcW w:w="8797" w:type="dxa"/>
                </w:tcPr>
                <w:p w14:paraId="1FF48DDF" w14:textId="77777777" w:rsidR="00F90FB2" w:rsidRDefault="00F90FB2" w:rsidP="00F90FB2">
                  <w:pPr>
                    <w:spacing w:before="120" w:after="120"/>
                    <w:ind w:left="30"/>
                    <w:rPr>
                      <w:sz w:val="24"/>
                      <w:szCs w:val="24"/>
                    </w:rPr>
                  </w:pPr>
                  <w:r w:rsidRPr="006637EA">
                    <w:rPr>
                      <w:b/>
                      <w:bCs/>
                      <w:sz w:val="24"/>
                      <w:szCs w:val="24"/>
                    </w:rPr>
                    <w:t>Goal 3 – Involved Communities:</w:t>
                  </w:r>
                  <w:r>
                    <w:rPr>
                      <w:sz w:val="24"/>
                      <w:szCs w:val="24"/>
                    </w:rPr>
                    <w:t xml:space="preserve"> To work with our communities so their strengths, experiences and needs are at the heart of all decision making. </w:t>
                  </w:r>
                </w:p>
              </w:tc>
              <w:tc>
                <w:tcPr>
                  <w:tcW w:w="1071" w:type="dxa"/>
                  <w:shd w:val="clear" w:color="auto" w:fill="DBE5F1" w:themeFill="accent1" w:themeFillTint="33"/>
                </w:tcPr>
                <w:p w14:paraId="03F3588A" w14:textId="77777777" w:rsidR="00F90FB2" w:rsidRDefault="00F90FB2" w:rsidP="00F90FB2">
                  <w:pPr>
                    <w:spacing w:before="120" w:after="120"/>
                    <w:ind w:left="144"/>
                    <w:rPr>
                      <w:sz w:val="24"/>
                      <w:szCs w:val="24"/>
                    </w:rPr>
                  </w:pPr>
                </w:p>
              </w:tc>
            </w:tr>
          </w:tbl>
          <w:p w14:paraId="5698517D" w14:textId="77777777" w:rsidR="00F90FB2" w:rsidRDefault="00F90FB2" w:rsidP="00F90FB2">
            <w:pPr>
              <w:pStyle w:val="TableParagraph"/>
              <w:spacing w:before="120" w:after="120"/>
              <w:rPr>
                <w:rFonts w:ascii="Arial"/>
                <w:sz w:val="24"/>
              </w:rPr>
            </w:pPr>
          </w:p>
        </w:tc>
      </w:tr>
      <w:tr w:rsidR="00F90FB2" w14:paraId="6371686A" w14:textId="77777777" w:rsidTr="00633886">
        <w:trPr>
          <w:trHeight w:val="553"/>
        </w:trPr>
        <w:tc>
          <w:tcPr>
            <w:tcW w:w="9990" w:type="dxa"/>
            <w:shd w:val="clear" w:color="auto" w:fill="D9D9D9" w:themeFill="background1" w:themeFillShade="D9"/>
          </w:tcPr>
          <w:p w14:paraId="051DCDEB" w14:textId="77777777" w:rsidR="00F90FB2" w:rsidRDefault="00F90FB2" w:rsidP="00F90FB2">
            <w:pPr>
              <w:pStyle w:val="TableParagraph"/>
              <w:spacing w:before="120" w:after="120"/>
              <w:ind w:left="107"/>
              <w:rPr>
                <w:rFonts w:ascii="Arial"/>
                <w:b/>
                <w:sz w:val="24"/>
              </w:rPr>
            </w:pPr>
            <w:r>
              <w:rPr>
                <w:rFonts w:ascii="Arial"/>
                <w:b/>
                <w:sz w:val="24"/>
              </w:rPr>
              <w:t>Are there any Resource Implications (including Financial, Staffing etc)?</w:t>
            </w:r>
          </w:p>
        </w:tc>
      </w:tr>
      <w:tr w:rsidR="00F90FB2" w14:paraId="23416296" w14:textId="77777777" w:rsidTr="00633886">
        <w:trPr>
          <w:trHeight w:val="409"/>
        </w:trPr>
        <w:tc>
          <w:tcPr>
            <w:tcW w:w="9990" w:type="dxa"/>
          </w:tcPr>
          <w:p w14:paraId="10BFA59E" w14:textId="77777777" w:rsidR="00F90FB2" w:rsidRPr="005E6F99" w:rsidRDefault="00F90FB2" w:rsidP="00F90FB2">
            <w:pPr>
              <w:pStyle w:val="TableParagraph"/>
              <w:spacing w:before="120" w:after="120"/>
              <w:ind w:left="107"/>
              <w:rPr>
                <w:rFonts w:ascii="Arial"/>
                <w:bCs/>
                <w:sz w:val="23"/>
              </w:rPr>
            </w:pPr>
            <w:r w:rsidRPr="00B15E0E">
              <w:rPr>
                <w:rFonts w:ascii="Arial" w:hAnsi="Arial" w:cs="Arial"/>
              </w:rPr>
              <w:t>There are no financial implications for this paper but notwithstanding some of the risk areas will have financial implications for the ICB.</w:t>
            </w:r>
          </w:p>
        </w:tc>
      </w:tr>
      <w:tr w:rsidR="00F90FB2" w14:paraId="4306735E" w14:textId="77777777" w:rsidTr="00633886">
        <w:trPr>
          <w:trHeight w:val="542"/>
        </w:trPr>
        <w:tc>
          <w:tcPr>
            <w:tcW w:w="9990" w:type="dxa"/>
            <w:shd w:val="clear" w:color="auto" w:fill="D9D9D9" w:themeFill="background1" w:themeFillShade="D9"/>
          </w:tcPr>
          <w:p w14:paraId="1E6FD336" w14:textId="77777777" w:rsidR="00F90FB2" w:rsidRDefault="00F90FB2" w:rsidP="00F90FB2">
            <w:pPr>
              <w:pStyle w:val="TableParagraph"/>
              <w:spacing w:before="120" w:after="120"/>
              <w:ind w:left="107"/>
              <w:rPr>
                <w:rFonts w:ascii="Arial"/>
                <w:b/>
                <w:sz w:val="24"/>
              </w:rPr>
            </w:pPr>
            <w:r>
              <w:rPr>
                <w:rFonts w:ascii="Arial"/>
                <w:b/>
                <w:sz w:val="24"/>
              </w:rPr>
              <w:t>Have you carried out an Equality Impact Assessment and is it attached?</w:t>
            </w:r>
          </w:p>
        </w:tc>
      </w:tr>
      <w:tr w:rsidR="00F90FB2" w14:paraId="22B4E1DC" w14:textId="77777777" w:rsidTr="00633886">
        <w:trPr>
          <w:trHeight w:val="435"/>
        </w:trPr>
        <w:tc>
          <w:tcPr>
            <w:tcW w:w="9990" w:type="dxa"/>
          </w:tcPr>
          <w:p w14:paraId="6984B231" w14:textId="77777777" w:rsidR="00F90FB2" w:rsidRDefault="00F90FB2" w:rsidP="00F90FB2">
            <w:pPr>
              <w:pStyle w:val="TableParagraph"/>
              <w:spacing w:before="120" w:after="120"/>
              <w:ind w:left="107" w:right="119"/>
              <w:rPr>
                <w:rFonts w:ascii="Arial"/>
                <w:sz w:val="24"/>
              </w:rPr>
            </w:pPr>
            <w:r>
              <w:rPr>
                <w:rFonts w:ascii="Arial"/>
                <w:sz w:val="24"/>
              </w:rPr>
              <w:t>Not applicable</w:t>
            </w:r>
          </w:p>
        </w:tc>
      </w:tr>
      <w:tr w:rsidR="00F90FB2" w14:paraId="702D6990" w14:textId="77777777" w:rsidTr="00633886">
        <w:trPr>
          <w:trHeight w:val="376"/>
        </w:trPr>
        <w:tc>
          <w:tcPr>
            <w:tcW w:w="9990" w:type="dxa"/>
            <w:shd w:val="clear" w:color="auto" w:fill="D9D9D9" w:themeFill="background1" w:themeFillShade="D9"/>
          </w:tcPr>
          <w:p w14:paraId="10498985" w14:textId="77777777" w:rsidR="00F90FB2" w:rsidRDefault="00F90FB2" w:rsidP="00F90FB2">
            <w:pPr>
              <w:pStyle w:val="TableParagraph"/>
              <w:spacing w:before="120" w:after="120"/>
              <w:ind w:left="107"/>
              <w:rPr>
                <w:rFonts w:ascii="Arial"/>
                <w:b/>
                <w:i/>
                <w:sz w:val="24"/>
              </w:rPr>
            </w:pPr>
            <w:r w:rsidRPr="009D6046">
              <w:rPr>
                <w:rFonts w:ascii="Arial"/>
                <w:b/>
                <w:iCs/>
                <w:sz w:val="24"/>
              </w:rPr>
              <w:t>Have you involved patients, carers and the public in the preparation of the report</w:t>
            </w:r>
            <w:r>
              <w:rPr>
                <w:rFonts w:ascii="Arial"/>
                <w:b/>
                <w:i/>
                <w:sz w:val="24"/>
              </w:rPr>
              <w:t>?</w:t>
            </w:r>
          </w:p>
        </w:tc>
      </w:tr>
      <w:tr w:rsidR="00F90FB2" w14:paraId="07006F4B" w14:textId="77777777" w:rsidTr="00633886">
        <w:trPr>
          <w:trHeight w:val="447"/>
        </w:trPr>
        <w:tc>
          <w:tcPr>
            <w:tcW w:w="9990" w:type="dxa"/>
          </w:tcPr>
          <w:p w14:paraId="1937A6A3" w14:textId="77777777" w:rsidR="00F90FB2" w:rsidRPr="005E6F99" w:rsidRDefault="00F90FB2" w:rsidP="00F90FB2">
            <w:pPr>
              <w:pStyle w:val="TableParagraph"/>
              <w:spacing w:before="120" w:after="120"/>
              <w:ind w:left="107"/>
              <w:rPr>
                <w:rFonts w:ascii="Arial"/>
                <w:bCs/>
                <w:sz w:val="24"/>
                <w:szCs w:val="24"/>
              </w:rPr>
            </w:pPr>
            <w:r w:rsidRPr="004A6AD9">
              <w:rPr>
                <w:rFonts w:ascii="Arial"/>
                <w:bCs/>
                <w:sz w:val="24"/>
                <w:szCs w:val="24"/>
              </w:rPr>
              <w:t xml:space="preserve">There has been no Patient or public involvement in the development of the BAF, RR or Issues Log but stakeholders/risk owners are being contacted for conversations about their risk profile and this will continue in a structured way during each cycle of updates.  </w:t>
            </w:r>
          </w:p>
        </w:tc>
      </w:tr>
      <w:tr w:rsidR="00F90FB2" w14:paraId="242671F9" w14:textId="77777777" w:rsidTr="00633886">
        <w:trPr>
          <w:trHeight w:val="447"/>
        </w:trPr>
        <w:tc>
          <w:tcPr>
            <w:tcW w:w="9990" w:type="dxa"/>
            <w:shd w:val="clear" w:color="auto" w:fill="BFBFBF" w:themeFill="background1" w:themeFillShade="BF"/>
          </w:tcPr>
          <w:p w14:paraId="36BA4CF0" w14:textId="77777777" w:rsidR="00F90FB2" w:rsidRPr="009D6046" w:rsidRDefault="00F90FB2" w:rsidP="00F90FB2">
            <w:pPr>
              <w:pStyle w:val="TableParagraph"/>
              <w:spacing w:before="120" w:after="120"/>
              <w:ind w:left="107"/>
              <w:rPr>
                <w:rFonts w:ascii="Arial"/>
                <w:b/>
                <w:sz w:val="24"/>
                <w:szCs w:val="24"/>
              </w:rPr>
            </w:pPr>
            <w:r>
              <w:rPr>
                <w:rFonts w:ascii="Arial"/>
                <w:bCs/>
                <w:sz w:val="24"/>
                <w:szCs w:val="24"/>
              </w:rPr>
              <w:t xml:space="preserve"> </w:t>
            </w:r>
            <w:r w:rsidRPr="009D6046">
              <w:rPr>
                <w:rFonts w:ascii="Arial"/>
                <w:b/>
                <w:sz w:val="24"/>
                <w:szCs w:val="24"/>
              </w:rPr>
              <w:t>Appendices</w:t>
            </w:r>
          </w:p>
        </w:tc>
      </w:tr>
      <w:tr w:rsidR="00F90FB2" w14:paraId="7FDE9F26" w14:textId="77777777" w:rsidTr="00633886">
        <w:trPr>
          <w:trHeight w:val="447"/>
        </w:trPr>
        <w:tc>
          <w:tcPr>
            <w:tcW w:w="9990" w:type="dxa"/>
          </w:tcPr>
          <w:p w14:paraId="71EF2EAD" w14:textId="179385FC" w:rsidR="00F90FB2" w:rsidRPr="005E6F99" w:rsidRDefault="00F90FB2" w:rsidP="00F90FB2">
            <w:pPr>
              <w:pStyle w:val="TableParagraph"/>
              <w:spacing w:before="120" w:after="120"/>
              <w:ind w:left="107"/>
              <w:rPr>
                <w:rFonts w:ascii="Arial"/>
                <w:bCs/>
                <w:sz w:val="24"/>
                <w:szCs w:val="24"/>
              </w:rPr>
            </w:pPr>
            <w:r>
              <w:rPr>
                <w:rFonts w:ascii="Arial"/>
                <w:bCs/>
                <w:sz w:val="24"/>
                <w:szCs w:val="24"/>
              </w:rPr>
              <w:t xml:space="preserve">Appendix A </w:t>
            </w:r>
            <w:r>
              <w:rPr>
                <w:rFonts w:ascii="Arial"/>
                <w:bCs/>
                <w:sz w:val="24"/>
                <w:szCs w:val="24"/>
              </w:rPr>
              <w:t>–</w:t>
            </w:r>
            <w:r>
              <w:rPr>
                <w:rFonts w:ascii="Arial"/>
                <w:bCs/>
                <w:sz w:val="24"/>
                <w:szCs w:val="24"/>
              </w:rPr>
              <w:t xml:space="preserve"> Rotherham BAF Risks, Risks and Issues above 12.</w:t>
            </w:r>
            <w:r>
              <w:rPr>
                <w:rFonts w:ascii="Arial"/>
                <w:bCs/>
                <w:sz w:val="24"/>
                <w:szCs w:val="24"/>
              </w:rPr>
              <w:br/>
              <w:t xml:space="preserve">Appendix B </w:t>
            </w:r>
            <w:r>
              <w:rPr>
                <w:rFonts w:ascii="Arial"/>
                <w:bCs/>
                <w:sz w:val="24"/>
                <w:szCs w:val="24"/>
              </w:rPr>
              <w:t>–</w:t>
            </w:r>
            <w:r>
              <w:rPr>
                <w:rFonts w:ascii="Arial"/>
                <w:bCs/>
                <w:sz w:val="24"/>
                <w:szCs w:val="24"/>
              </w:rPr>
              <w:t xml:space="preserve"> Rotherham BAF Risks, Risks and Issues (spreadsheet)</w:t>
            </w:r>
          </w:p>
        </w:tc>
      </w:tr>
    </w:tbl>
    <w:p w14:paraId="0963C799" w14:textId="77777777" w:rsidR="00BC7693" w:rsidRDefault="00BC7693" w:rsidP="00BC7693">
      <w:pPr>
        <w:tabs>
          <w:tab w:val="left" w:pos="8505"/>
        </w:tabs>
        <w:rPr>
          <w:rFonts w:ascii="Times New Roman"/>
          <w:sz w:val="20"/>
        </w:rPr>
        <w:sectPr w:rsidR="00BC7693" w:rsidSect="00BC7693">
          <w:pgSz w:w="11910" w:h="16840"/>
          <w:pgMar w:top="1580" w:right="820" w:bottom="709" w:left="880" w:header="57" w:footer="288" w:gutter="0"/>
          <w:cols w:space="720"/>
          <w:docGrid w:linePitch="299"/>
        </w:sectPr>
      </w:pPr>
    </w:p>
    <w:p w14:paraId="58B24CCD" w14:textId="77777777" w:rsidR="004A6AD9" w:rsidRDefault="004A6AD9" w:rsidP="004A6AD9">
      <w:pPr>
        <w:rPr>
          <w:b/>
          <w:bCs/>
          <w:lang w:val="en-US" w:eastAsia="en-US"/>
        </w:rPr>
      </w:pPr>
    </w:p>
    <w:sectPr w:rsidR="004A6AD9" w:rsidSect="00F23255">
      <w:footerReference w:type="default" r:id="rId16"/>
      <w:pgSz w:w="11910" w:h="16840"/>
      <w:pgMar w:top="1580" w:right="820" w:bottom="709" w:left="880" w:header="57"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3536" w14:textId="77777777" w:rsidR="00272561" w:rsidRDefault="00272561">
      <w:r>
        <w:separator/>
      </w:r>
    </w:p>
  </w:endnote>
  <w:endnote w:type="continuationSeparator" w:id="0">
    <w:p w14:paraId="49E37BD8" w14:textId="77777777" w:rsidR="00272561" w:rsidRDefault="00272561">
      <w:r>
        <w:continuationSeparator/>
      </w:r>
    </w:p>
  </w:endnote>
  <w:endnote w:type="continuationNotice" w:id="1">
    <w:p w14:paraId="693B2AA6" w14:textId="77777777" w:rsidR="00272561" w:rsidRDefault="00272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5C3C" w14:textId="77777777" w:rsidR="00196BA7" w:rsidRDefault="00196BA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90F0" w14:textId="77777777" w:rsidR="00272561" w:rsidRDefault="00272561">
      <w:r>
        <w:separator/>
      </w:r>
    </w:p>
  </w:footnote>
  <w:footnote w:type="continuationSeparator" w:id="0">
    <w:p w14:paraId="0BB17482" w14:textId="77777777" w:rsidR="00272561" w:rsidRDefault="00272561">
      <w:r>
        <w:continuationSeparator/>
      </w:r>
    </w:p>
  </w:footnote>
  <w:footnote w:type="continuationNotice" w:id="1">
    <w:p w14:paraId="7CF76EC7" w14:textId="77777777" w:rsidR="00272561" w:rsidRDefault="00272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35A"/>
    <w:multiLevelType w:val="hybridMultilevel"/>
    <w:tmpl w:val="B63227C4"/>
    <w:lvl w:ilvl="0" w:tplc="CCFECE82">
      <w:start w:val="1"/>
      <w:numFmt w:val="decimal"/>
      <w:lvlText w:val="%1."/>
      <w:lvlJc w:val="left"/>
      <w:pPr>
        <w:ind w:left="827" w:hanging="360"/>
      </w:pPr>
      <w:rPr>
        <w:rFonts w:ascii="Arial" w:eastAsia="Arial" w:hAnsi="Arial" w:cs="Arial" w:hint="default"/>
        <w:spacing w:val="-4"/>
        <w:w w:val="100"/>
        <w:sz w:val="24"/>
        <w:szCs w:val="24"/>
        <w:lang w:val="en-GB" w:eastAsia="en-GB" w:bidi="en-GB"/>
      </w:rPr>
    </w:lvl>
    <w:lvl w:ilvl="1" w:tplc="06FAF6EE">
      <w:numFmt w:val="bullet"/>
      <w:lvlText w:val="•"/>
      <w:lvlJc w:val="left"/>
      <w:pPr>
        <w:ind w:left="1725" w:hanging="360"/>
      </w:pPr>
      <w:rPr>
        <w:rFonts w:hint="default"/>
        <w:lang w:val="en-GB" w:eastAsia="en-GB" w:bidi="en-GB"/>
      </w:rPr>
    </w:lvl>
    <w:lvl w:ilvl="2" w:tplc="9A42443A">
      <w:numFmt w:val="bullet"/>
      <w:lvlText w:val="•"/>
      <w:lvlJc w:val="left"/>
      <w:pPr>
        <w:ind w:left="2631" w:hanging="360"/>
      </w:pPr>
      <w:rPr>
        <w:rFonts w:hint="default"/>
        <w:lang w:val="en-GB" w:eastAsia="en-GB" w:bidi="en-GB"/>
      </w:rPr>
    </w:lvl>
    <w:lvl w:ilvl="3" w:tplc="B57CC8F2">
      <w:numFmt w:val="bullet"/>
      <w:lvlText w:val="•"/>
      <w:lvlJc w:val="left"/>
      <w:pPr>
        <w:ind w:left="3537" w:hanging="360"/>
      </w:pPr>
      <w:rPr>
        <w:rFonts w:hint="default"/>
        <w:lang w:val="en-GB" w:eastAsia="en-GB" w:bidi="en-GB"/>
      </w:rPr>
    </w:lvl>
    <w:lvl w:ilvl="4" w:tplc="7F72C040">
      <w:numFmt w:val="bullet"/>
      <w:lvlText w:val="•"/>
      <w:lvlJc w:val="left"/>
      <w:pPr>
        <w:ind w:left="4443" w:hanging="360"/>
      </w:pPr>
      <w:rPr>
        <w:rFonts w:hint="default"/>
        <w:lang w:val="en-GB" w:eastAsia="en-GB" w:bidi="en-GB"/>
      </w:rPr>
    </w:lvl>
    <w:lvl w:ilvl="5" w:tplc="FE34CA42">
      <w:numFmt w:val="bullet"/>
      <w:lvlText w:val="•"/>
      <w:lvlJc w:val="left"/>
      <w:pPr>
        <w:ind w:left="5349" w:hanging="360"/>
      </w:pPr>
      <w:rPr>
        <w:rFonts w:hint="default"/>
        <w:lang w:val="en-GB" w:eastAsia="en-GB" w:bidi="en-GB"/>
      </w:rPr>
    </w:lvl>
    <w:lvl w:ilvl="6" w:tplc="DE78229A">
      <w:numFmt w:val="bullet"/>
      <w:lvlText w:val="•"/>
      <w:lvlJc w:val="left"/>
      <w:pPr>
        <w:ind w:left="6254" w:hanging="360"/>
      </w:pPr>
      <w:rPr>
        <w:rFonts w:hint="default"/>
        <w:lang w:val="en-GB" w:eastAsia="en-GB" w:bidi="en-GB"/>
      </w:rPr>
    </w:lvl>
    <w:lvl w:ilvl="7" w:tplc="F0327874">
      <w:numFmt w:val="bullet"/>
      <w:lvlText w:val="•"/>
      <w:lvlJc w:val="left"/>
      <w:pPr>
        <w:ind w:left="7160" w:hanging="360"/>
      </w:pPr>
      <w:rPr>
        <w:rFonts w:hint="default"/>
        <w:lang w:val="en-GB" w:eastAsia="en-GB" w:bidi="en-GB"/>
      </w:rPr>
    </w:lvl>
    <w:lvl w:ilvl="8" w:tplc="7D2EC35E">
      <w:numFmt w:val="bullet"/>
      <w:lvlText w:val="•"/>
      <w:lvlJc w:val="left"/>
      <w:pPr>
        <w:ind w:left="8066" w:hanging="360"/>
      </w:pPr>
      <w:rPr>
        <w:rFonts w:hint="default"/>
        <w:lang w:val="en-GB" w:eastAsia="en-GB" w:bidi="en-GB"/>
      </w:rPr>
    </w:lvl>
  </w:abstractNum>
  <w:abstractNum w:abstractNumId="1" w15:restartNumberingAfterBreak="0">
    <w:nsid w:val="15867066"/>
    <w:multiLevelType w:val="hybridMultilevel"/>
    <w:tmpl w:val="8104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77B55"/>
    <w:multiLevelType w:val="hybridMultilevel"/>
    <w:tmpl w:val="582A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12890"/>
    <w:multiLevelType w:val="hybridMultilevel"/>
    <w:tmpl w:val="76B8DBD2"/>
    <w:lvl w:ilvl="0" w:tplc="8500F35A">
      <w:start w:val="3"/>
      <w:numFmt w:val="bullet"/>
      <w:suff w:val="space"/>
      <w:lvlText w:val=""/>
      <w:lvlJc w:val="left"/>
      <w:pPr>
        <w:ind w:left="0" w:firstLine="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909E8"/>
    <w:multiLevelType w:val="hybridMultilevel"/>
    <w:tmpl w:val="6BEA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F73D65"/>
    <w:multiLevelType w:val="hybridMultilevel"/>
    <w:tmpl w:val="3DB47460"/>
    <w:lvl w:ilvl="0" w:tplc="987EC542">
      <w:start w:val="3"/>
      <w:numFmt w:val="bullet"/>
      <w:lvlText w:val=""/>
      <w:lvlJc w:val="left"/>
      <w:pPr>
        <w:ind w:left="720" w:hanging="360"/>
      </w:pPr>
      <w:rPr>
        <w:rFonts w:ascii="Symbol" w:eastAsia="Arial" w:hAnsi="Symbol" w:cs="Arial" w:hint="default"/>
      </w:rPr>
    </w:lvl>
    <w:lvl w:ilvl="1" w:tplc="D3F4B7FC">
      <w:start w:val="3"/>
      <w:numFmt w:val="bullet"/>
      <w:suff w:val="space"/>
      <w:lvlText w:val=""/>
      <w:lvlJc w:val="left"/>
      <w:pPr>
        <w:ind w:left="0" w:firstLine="0"/>
      </w:pPr>
      <w:rPr>
        <w:rFonts w:ascii="Symbol" w:eastAsia="Arial"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982859"/>
    <w:multiLevelType w:val="multilevel"/>
    <w:tmpl w:val="54A498B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6A7109"/>
    <w:multiLevelType w:val="hybridMultilevel"/>
    <w:tmpl w:val="5FC43758"/>
    <w:lvl w:ilvl="0" w:tplc="B1AC902E">
      <w:start w:val="1"/>
      <w:numFmt w:val="decimal"/>
      <w:lvlText w:val="(%1)"/>
      <w:lvlJc w:val="left"/>
      <w:pPr>
        <w:ind w:left="980" w:hanging="708"/>
      </w:pPr>
      <w:rPr>
        <w:rFonts w:ascii="Arial" w:eastAsia="Arial" w:hAnsi="Arial" w:cs="Arial" w:hint="default"/>
        <w:spacing w:val="-3"/>
        <w:w w:val="100"/>
        <w:sz w:val="24"/>
        <w:szCs w:val="24"/>
        <w:lang w:val="en-GB" w:eastAsia="en-GB" w:bidi="en-GB"/>
      </w:rPr>
    </w:lvl>
    <w:lvl w:ilvl="1" w:tplc="BBD432BE">
      <w:numFmt w:val="bullet"/>
      <w:lvlText w:val="•"/>
      <w:lvlJc w:val="left"/>
      <w:pPr>
        <w:ind w:left="1902" w:hanging="708"/>
      </w:pPr>
      <w:rPr>
        <w:rFonts w:hint="default"/>
        <w:lang w:val="en-GB" w:eastAsia="en-GB" w:bidi="en-GB"/>
      </w:rPr>
    </w:lvl>
    <w:lvl w:ilvl="2" w:tplc="EECEEC90">
      <w:numFmt w:val="bullet"/>
      <w:lvlText w:val="•"/>
      <w:lvlJc w:val="left"/>
      <w:pPr>
        <w:ind w:left="2825" w:hanging="708"/>
      </w:pPr>
      <w:rPr>
        <w:rFonts w:hint="default"/>
        <w:lang w:val="en-GB" w:eastAsia="en-GB" w:bidi="en-GB"/>
      </w:rPr>
    </w:lvl>
    <w:lvl w:ilvl="3" w:tplc="F22AFD3E">
      <w:numFmt w:val="bullet"/>
      <w:lvlText w:val="•"/>
      <w:lvlJc w:val="left"/>
      <w:pPr>
        <w:ind w:left="3747" w:hanging="708"/>
      </w:pPr>
      <w:rPr>
        <w:rFonts w:hint="default"/>
        <w:lang w:val="en-GB" w:eastAsia="en-GB" w:bidi="en-GB"/>
      </w:rPr>
    </w:lvl>
    <w:lvl w:ilvl="4" w:tplc="E88245E8">
      <w:numFmt w:val="bullet"/>
      <w:lvlText w:val="•"/>
      <w:lvlJc w:val="left"/>
      <w:pPr>
        <w:ind w:left="4670" w:hanging="708"/>
      </w:pPr>
      <w:rPr>
        <w:rFonts w:hint="default"/>
        <w:lang w:val="en-GB" w:eastAsia="en-GB" w:bidi="en-GB"/>
      </w:rPr>
    </w:lvl>
    <w:lvl w:ilvl="5" w:tplc="6B505ECE">
      <w:numFmt w:val="bullet"/>
      <w:lvlText w:val="•"/>
      <w:lvlJc w:val="left"/>
      <w:pPr>
        <w:ind w:left="5593" w:hanging="708"/>
      </w:pPr>
      <w:rPr>
        <w:rFonts w:hint="default"/>
        <w:lang w:val="en-GB" w:eastAsia="en-GB" w:bidi="en-GB"/>
      </w:rPr>
    </w:lvl>
    <w:lvl w:ilvl="6" w:tplc="6C34A5BE">
      <w:numFmt w:val="bullet"/>
      <w:lvlText w:val="•"/>
      <w:lvlJc w:val="left"/>
      <w:pPr>
        <w:ind w:left="6515" w:hanging="708"/>
      </w:pPr>
      <w:rPr>
        <w:rFonts w:hint="default"/>
        <w:lang w:val="en-GB" w:eastAsia="en-GB" w:bidi="en-GB"/>
      </w:rPr>
    </w:lvl>
    <w:lvl w:ilvl="7" w:tplc="F6CECA98">
      <w:numFmt w:val="bullet"/>
      <w:lvlText w:val="•"/>
      <w:lvlJc w:val="left"/>
      <w:pPr>
        <w:ind w:left="7438" w:hanging="708"/>
      </w:pPr>
      <w:rPr>
        <w:rFonts w:hint="default"/>
        <w:lang w:val="en-GB" w:eastAsia="en-GB" w:bidi="en-GB"/>
      </w:rPr>
    </w:lvl>
    <w:lvl w:ilvl="8" w:tplc="D04EFEE2">
      <w:numFmt w:val="bullet"/>
      <w:lvlText w:val="•"/>
      <w:lvlJc w:val="left"/>
      <w:pPr>
        <w:ind w:left="8361" w:hanging="708"/>
      </w:pPr>
      <w:rPr>
        <w:rFonts w:hint="default"/>
        <w:lang w:val="en-GB" w:eastAsia="en-GB" w:bidi="en-GB"/>
      </w:rPr>
    </w:lvl>
  </w:abstractNum>
  <w:abstractNum w:abstractNumId="8" w15:restartNumberingAfterBreak="0">
    <w:nsid w:val="6E46403F"/>
    <w:multiLevelType w:val="hybridMultilevel"/>
    <w:tmpl w:val="EDA8DC42"/>
    <w:lvl w:ilvl="0" w:tplc="67A6B300">
      <w:start w:val="1"/>
      <w:numFmt w:val="decimal"/>
      <w:lvlText w:val="%1."/>
      <w:lvlJc w:val="left"/>
      <w:pPr>
        <w:ind w:left="632" w:hanging="360"/>
      </w:pPr>
      <w:rPr>
        <w:rFonts w:ascii="Arial" w:eastAsia="Arial" w:hAnsi="Arial" w:cs="Arial" w:hint="default"/>
        <w:b/>
        <w:bCs/>
        <w:spacing w:val="-1"/>
        <w:w w:val="100"/>
        <w:sz w:val="24"/>
        <w:szCs w:val="24"/>
        <w:lang w:val="en-GB" w:eastAsia="en-GB" w:bidi="en-GB"/>
      </w:rPr>
    </w:lvl>
    <w:lvl w:ilvl="1" w:tplc="B3647960">
      <w:numFmt w:val="bullet"/>
      <w:lvlText w:val="•"/>
      <w:lvlJc w:val="left"/>
      <w:pPr>
        <w:ind w:left="1596" w:hanging="360"/>
      </w:pPr>
      <w:rPr>
        <w:rFonts w:hint="default"/>
        <w:lang w:val="en-GB" w:eastAsia="en-GB" w:bidi="en-GB"/>
      </w:rPr>
    </w:lvl>
    <w:lvl w:ilvl="2" w:tplc="DB04A062">
      <w:numFmt w:val="bullet"/>
      <w:lvlText w:val="•"/>
      <w:lvlJc w:val="left"/>
      <w:pPr>
        <w:ind w:left="2553" w:hanging="360"/>
      </w:pPr>
      <w:rPr>
        <w:rFonts w:hint="default"/>
        <w:lang w:val="en-GB" w:eastAsia="en-GB" w:bidi="en-GB"/>
      </w:rPr>
    </w:lvl>
    <w:lvl w:ilvl="3" w:tplc="4FE696EE">
      <w:numFmt w:val="bullet"/>
      <w:lvlText w:val="•"/>
      <w:lvlJc w:val="left"/>
      <w:pPr>
        <w:ind w:left="3509" w:hanging="360"/>
      </w:pPr>
      <w:rPr>
        <w:rFonts w:hint="default"/>
        <w:lang w:val="en-GB" w:eastAsia="en-GB" w:bidi="en-GB"/>
      </w:rPr>
    </w:lvl>
    <w:lvl w:ilvl="4" w:tplc="B40CCC20">
      <w:numFmt w:val="bullet"/>
      <w:lvlText w:val="•"/>
      <w:lvlJc w:val="left"/>
      <w:pPr>
        <w:ind w:left="4466" w:hanging="360"/>
      </w:pPr>
      <w:rPr>
        <w:rFonts w:hint="default"/>
        <w:lang w:val="en-GB" w:eastAsia="en-GB" w:bidi="en-GB"/>
      </w:rPr>
    </w:lvl>
    <w:lvl w:ilvl="5" w:tplc="A2D42AC6">
      <w:numFmt w:val="bullet"/>
      <w:lvlText w:val="•"/>
      <w:lvlJc w:val="left"/>
      <w:pPr>
        <w:ind w:left="5423" w:hanging="360"/>
      </w:pPr>
      <w:rPr>
        <w:rFonts w:hint="default"/>
        <w:lang w:val="en-GB" w:eastAsia="en-GB" w:bidi="en-GB"/>
      </w:rPr>
    </w:lvl>
    <w:lvl w:ilvl="6" w:tplc="695C66EC">
      <w:numFmt w:val="bullet"/>
      <w:lvlText w:val="•"/>
      <w:lvlJc w:val="left"/>
      <w:pPr>
        <w:ind w:left="6379" w:hanging="360"/>
      </w:pPr>
      <w:rPr>
        <w:rFonts w:hint="default"/>
        <w:lang w:val="en-GB" w:eastAsia="en-GB" w:bidi="en-GB"/>
      </w:rPr>
    </w:lvl>
    <w:lvl w:ilvl="7" w:tplc="0C38121A">
      <w:numFmt w:val="bullet"/>
      <w:lvlText w:val="•"/>
      <w:lvlJc w:val="left"/>
      <w:pPr>
        <w:ind w:left="7336" w:hanging="360"/>
      </w:pPr>
      <w:rPr>
        <w:rFonts w:hint="default"/>
        <w:lang w:val="en-GB" w:eastAsia="en-GB" w:bidi="en-GB"/>
      </w:rPr>
    </w:lvl>
    <w:lvl w:ilvl="8" w:tplc="D486CDF0">
      <w:numFmt w:val="bullet"/>
      <w:lvlText w:val="•"/>
      <w:lvlJc w:val="left"/>
      <w:pPr>
        <w:ind w:left="8293" w:hanging="360"/>
      </w:pPr>
      <w:rPr>
        <w:rFonts w:hint="default"/>
        <w:lang w:val="en-GB" w:eastAsia="en-GB" w:bidi="en-GB"/>
      </w:rPr>
    </w:lvl>
  </w:abstractNum>
  <w:abstractNum w:abstractNumId="9" w15:restartNumberingAfterBreak="0">
    <w:nsid w:val="6EDE0182"/>
    <w:multiLevelType w:val="hybridMultilevel"/>
    <w:tmpl w:val="F8487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5371748"/>
    <w:multiLevelType w:val="hybridMultilevel"/>
    <w:tmpl w:val="4DD68E7C"/>
    <w:lvl w:ilvl="0" w:tplc="3AFAF4DC">
      <w:start w:val="3"/>
      <w:numFmt w:val="bullet"/>
      <w:suff w:val="space"/>
      <w:lvlText w:val=""/>
      <w:lvlJc w:val="left"/>
      <w:pPr>
        <w:ind w:left="0" w:firstLine="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16433C"/>
    <w:multiLevelType w:val="hybridMultilevel"/>
    <w:tmpl w:val="60EE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F476E"/>
    <w:multiLevelType w:val="hybridMultilevel"/>
    <w:tmpl w:val="1C0EA4B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num w:numId="1" w16cid:durableId="2047245907">
    <w:abstractNumId w:val="7"/>
  </w:num>
  <w:num w:numId="2" w16cid:durableId="2033680268">
    <w:abstractNumId w:val="8"/>
  </w:num>
  <w:num w:numId="3" w16cid:durableId="461120938">
    <w:abstractNumId w:val="0"/>
  </w:num>
  <w:num w:numId="4" w16cid:durableId="1906647533">
    <w:abstractNumId w:val="11"/>
  </w:num>
  <w:num w:numId="5" w16cid:durableId="1619681799">
    <w:abstractNumId w:val="9"/>
  </w:num>
  <w:num w:numId="6" w16cid:durableId="1634365448">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0372434">
    <w:abstractNumId w:val="12"/>
  </w:num>
  <w:num w:numId="8" w16cid:durableId="307367951">
    <w:abstractNumId w:val="3"/>
  </w:num>
  <w:num w:numId="9" w16cid:durableId="988635913">
    <w:abstractNumId w:val="10"/>
  </w:num>
  <w:num w:numId="10" w16cid:durableId="1584339834">
    <w:abstractNumId w:val="5"/>
  </w:num>
  <w:num w:numId="11" w16cid:durableId="722025987">
    <w:abstractNumId w:val="2"/>
  </w:num>
  <w:num w:numId="12" w16cid:durableId="2043162540">
    <w:abstractNumId w:val="1"/>
  </w:num>
  <w:num w:numId="13" w16cid:durableId="123238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A7"/>
    <w:rsid w:val="000020EE"/>
    <w:rsid w:val="00005624"/>
    <w:rsid w:val="000110C2"/>
    <w:rsid w:val="0001385F"/>
    <w:rsid w:val="00015038"/>
    <w:rsid w:val="0001704E"/>
    <w:rsid w:val="00024428"/>
    <w:rsid w:val="00033CB5"/>
    <w:rsid w:val="000359BC"/>
    <w:rsid w:val="00047FF4"/>
    <w:rsid w:val="00051A41"/>
    <w:rsid w:val="00071DAD"/>
    <w:rsid w:val="000A3C17"/>
    <w:rsid w:val="000B04E7"/>
    <w:rsid w:val="000C6DEB"/>
    <w:rsid w:val="000F4093"/>
    <w:rsid w:val="00100862"/>
    <w:rsid w:val="00105FF8"/>
    <w:rsid w:val="00112BA7"/>
    <w:rsid w:val="00142E27"/>
    <w:rsid w:val="00143BDB"/>
    <w:rsid w:val="00156CB9"/>
    <w:rsid w:val="00172593"/>
    <w:rsid w:val="0017294E"/>
    <w:rsid w:val="00196BA7"/>
    <w:rsid w:val="001A72D6"/>
    <w:rsid w:val="001E5EAE"/>
    <w:rsid w:val="001F35EB"/>
    <w:rsid w:val="00212E9E"/>
    <w:rsid w:val="002171D0"/>
    <w:rsid w:val="002202DF"/>
    <w:rsid w:val="002447BF"/>
    <w:rsid w:val="00245EEC"/>
    <w:rsid w:val="00271142"/>
    <w:rsid w:val="00272561"/>
    <w:rsid w:val="002948B9"/>
    <w:rsid w:val="002C60F2"/>
    <w:rsid w:val="002C7527"/>
    <w:rsid w:val="002E48D0"/>
    <w:rsid w:val="002F1A96"/>
    <w:rsid w:val="0030116D"/>
    <w:rsid w:val="00314D89"/>
    <w:rsid w:val="003370F8"/>
    <w:rsid w:val="00375D51"/>
    <w:rsid w:val="003A6BC4"/>
    <w:rsid w:val="003B03DF"/>
    <w:rsid w:val="003B6FD0"/>
    <w:rsid w:val="003B7D27"/>
    <w:rsid w:val="003F6381"/>
    <w:rsid w:val="00405FC9"/>
    <w:rsid w:val="0041496B"/>
    <w:rsid w:val="00417B0D"/>
    <w:rsid w:val="00425403"/>
    <w:rsid w:val="00430DE0"/>
    <w:rsid w:val="00437B1D"/>
    <w:rsid w:val="004409E7"/>
    <w:rsid w:val="0046694C"/>
    <w:rsid w:val="00471BE0"/>
    <w:rsid w:val="00475CAF"/>
    <w:rsid w:val="00486C7A"/>
    <w:rsid w:val="004A1CFD"/>
    <w:rsid w:val="004A2E55"/>
    <w:rsid w:val="004A6AD9"/>
    <w:rsid w:val="004C011A"/>
    <w:rsid w:val="004C2757"/>
    <w:rsid w:val="004D45DF"/>
    <w:rsid w:val="004F5B37"/>
    <w:rsid w:val="004F5F35"/>
    <w:rsid w:val="004F67C6"/>
    <w:rsid w:val="004F6D5F"/>
    <w:rsid w:val="00503052"/>
    <w:rsid w:val="005073DC"/>
    <w:rsid w:val="00510D78"/>
    <w:rsid w:val="00520C96"/>
    <w:rsid w:val="0052370B"/>
    <w:rsid w:val="00527FCE"/>
    <w:rsid w:val="00546BEC"/>
    <w:rsid w:val="00563243"/>
    <w:rsid w:val="00587451"/>
    <w:rsid w:val="005B2D5F"/>
    <w:rsid w:val="005B3614"/>
    <w:rsid w:val="005D6EC3"/>
    <w:rsid w:val="005E6F99"/>
    <w:rsid w:val="005E7A60"/>
    <w:rsid w:val="0061269B"/>
    <w:rsid w:val="00624B8A"/>
    <w:rsid w:val="00646947"/>
    <w:rsid w:val="00666F9F"/>
    <w:rsid w:val="006720E9"/>
    <w:rsid w:val="006729F1"/>
    <w:rsid w:val="00682948"/>
    <w:rsid w:val="006963A9"/>
    <w:rsid w:val="006A0D1F"/>
    <w:rsid w:val="006B1117"/>
    <w:rsid w:val="006B75FF"/>
    <w:rsid w:val="006B7782"/>
    <w:rsid w:val="007239D0"/>
    <w:rsid w:val="00733453"/>
    <w:rsid w:val="00735980"/>
    <w:rsid w:val="0074398B"/>
    <w:rsid w:val="007570B6"/>
    <w:rsid w:val="007603EB"/>
    <w:rsid w:val="0076280D"/>
    <w:rsid w:val="00762A04"/>
    <w:rsid w:val="007739CF"/>
    <w:rsid w:val="00774043"/>
    <w:rsid w:val="00785441"/>
    <w:rsid w:val="007A025A"/>
    <w:rsid w:val="007A384A"/>
    <w:rsid w:val="007B2071"/>
    <w:rsid w:val="007C429E"/>
    <w:rsid w:val="007D0947"/>
    <w:rsid w:val="007E3F89"/>
    <w:rsid w:val="007E6099"/>
    <w:rsid w:val="008370E2"/>
    <w:rsid w:val="008479A1"/>
    <w:rsid w:val="00871B53"/>
    <w:rsid w:val="00883CBE"/>
    <w:rsid w:val="008940F9"/>
    <w:rsid w:val="008A2713"/>
    <w:rsid w:val="008A5E3B"/>
    <w:rsid w:val="008C1918"/>
    <w:rsid w:val="008C7AB5"/>
    <w:rsid w:val="008C7F01"/>
    <w:rsid w:val="008E14DB"/>
    <w:rsid w:val="008F095F"/>
    <w:rsid w:val="008F1402"/>
    <w:rsid w:val="00902760"/>
    <w:rsid w:val="0093735B"/>
    <w:rsid w:val="00997083"/>
    <w:rsid w:val="009B213D"/>
    <w:rsid w:val="009D6046"/>
    <w:rsid w:val="009F29BB"/>
    <w:rsid w:val="009F69BF"/>
    <w:rsid w:val="00A163E0"/>
    <w:rsid w:val="00A229E8"/>
    <w:rsid w:val="00A35ADA"/>
    <w:rsid w:val="00A47223"/>
    <w:rsid w:val="00A509EF"/>
    <w:rsid w:val="00A5722E"/>
    <w:rsid w:val="00A60636"/>
    <w:rsid w:val="00A80672"/>
    <w:rsid w:val="00A82AD0"/>
    <w:rsid w:val="00A911BD"/>
    <w:rsid w:val="00AB27A6"/>
    <w:rsid w:val="00AB2AD1"/>
    <w:rsid w:val="00AC3676"/>
    <w:rsid w:val="00AD1712"/>
    <w:rsid w:val="00AF3A99"/>
    <w:rsid w:val="00B05188"/>
    <w:rsid w:val="00B05ED1"/>
    <w:rsid w:val="00B12518"/>
    <w:rsid w:val="00B20139"/>
    <w:rsid w:val="00B25000"/>
    <w:rsid w:val="00B33C72"/>
    <w:rsid w:val="00B33E62"/>
    <w:rsid w:val="00B340E0"/>
    <w:rsid w:val="00B40029"/>
    <w:rsid w:val="00B44645"/>
    <w:rsid w:val="00B5130D"/>
    <w:rsid w:val="00B53295"/>
    <w:rsid w:val="00B657B0"/>
    <w:rsid w:val="00B7200A"/>
    <w:rsid w:val="00B76D7F"/>
    <w:rsid w:val="00B8630F"/>
    <w:rsid w:val="00BB57B7"/>
    <w:rsid w:val="00BB7499"/>
    <w:rsid w:val="00BC7693"/>
    <w:rsid w:val="00BD3824"/>
    <w:rsid w:val="00BE306A"/>
    <w:rsid w:val="00C0447C"/>
    <w:rsid w:val="00C56A7F"/>
    <w:rsid w:val="00C636C8"/>
    <w:rsid w:val="00C80547"/>
    <w:rsid w:val="00C86995"/>
    <w:rsid w:val="00C90305"/>
    <w:rsid w:val="00C95BE4"/>
    <w:rsid w:val="00CB6F00"/>
    <w:rsid w:val="00CC709A"/>
    <w:rsid w:val="00CE66A5"/>
    <w:rsid w:val="00CF63F0"/>
    <w:rsid w:val="00D07B00"/>
    <w:rsid w:val="00D2538E"/>
    <w:rsid w:val="00D42613"/>
    <w:rsid w:val="00D50F73"/>
    <w:rsid w:val="00D541B5"/>
    <w:rsid w:val="00D57255"/>
    <w:rsid w:val="00D643ED"/>
    <w:rsid w:val="00D67849"/>
    <w:rsid w:val="00D83B12"/>
    <w:rsid w:val="00D923F1"/>
    <w:rsid w:val="00DB6AEB"/>
    <w:rsid w:val="00DD4660"/>
    <w:rsid w:val="00DE38FF"/>
    <w:rsid w:val="00DE7568"/>
    <w:rsid w:val="00DF77A2"/>
    <w:rsid w:val="00E01072"/>
    <w:rsid w:val="00E06F42"/>
    <w:rsid w:val="00E53A87"/>
    <w:rsid w:val="00E543E1"/>
    <w:rsid w:val="00E57228"/>
    <w:rsid w:val="00E65E05"/>
    <w:rsid w:val="00E95650"/>
    <w:rsid w:val="00E97E23"/>
    <w:rsid w:val="00E97E3F"/>
    <w:rsid w:val="00EA606B"/>
    <w:rsid w:val="00F131EB"/>
    <w:rsid w:val="00F23255"/>
    <w:rsid w:val="00F24B31"/>
    <w:rsid w:val="00F277DC"/>
    <w:rsid w:val="00F4195B"/>
    <w:rsid w:val="00F71461"/>
    <w:rsid w:val="00F8153E"/>
    <w:rsid w:val="00F90FB2"/>
    <w:rsid w:val="00FA55AC"/>
    <w:rsid w:val="00FB1102"/>
    <w:rsid w:val="00FB3512"/>
    <w:rsid w:val="00FC554C"/>
    <w:rsid w:val="00FD4189"/>
    <w:rsid w:val="070196E4"/>
    <w:rsid w:val="185F6674"/>
    <w:rsid w:val="4B61582F"/>
    <w:rsid w:val="76F7C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396D"/>
  <w15:docId w15:val="{45AAB379-A0EA-4485-98AE-6490E0D7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link w:val="Heading1Char"/>
    <w:uiPriority w:val="9"/>
    <w:qFormat/>
    <w:pPr>
      <w:ind w:left="2103" w:right="2158"/>
      <w:jc w:val="center"/>
      <w:outlineLvl w:val="0"/>
    </w:pPr>
    <w:rPr>
      <w:b/>
      <w:bCs/>
      <w:sz w:val="28"/>
      <w:szCs w:val="28"/>
    </w:rPr>
  </w:style>
  <w:style w:type="paragraph" w:styleId="Heading2">
    <w:name w:val="heading 2"/>
    <w:basedOn w:val="Normal"/>
    <w:uiPriority w:val="9"/>
    <w:unhideWhenUsed/>
    <w:qFormat/>
    <w:pPr>
      <w:ind w:left="632"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32"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C1918"/>
    <w:pPr>
      <w:tabs>
        <w:tab w:val="center" w:pos="4513"/>
        <w:tab w:val="right" w:pos="9026"/>
      </w:tabs>
    </w:pPr>
  </w:style>
  <w:style w:type="character" w:customStyle="1" w:styleId="HeaderChar">
    <w:name w:val="Header Char"/>
    <w:basedOn w:val="DefaultParagraphFont"/>
    <w:link w:val="Header"/>
    <w:uiPriority w:val="99"/>
    <w:rsid w:val="008C1918"/>
    <w:rPr>
      <w:rFonts w:ascii="Arial" w:eastAsia="Arial" w:hAnsi="Arial" w:cs="Arial"/>
      <w:lang w:val="en-GB" w:eastAsia="en-GB" w:bidi="en-GB"/>
    </w:rPr>
  </w:style>
  <w:style w:type="paragraph" w:styleId="Footer">
    <w:name w:val="footer"/>
    <w:basedOn w:val="Normal"/>
    <w:link w:val="FooterChar"/>
    <w:uiPriority w:val="99"/>
    <w:unhideWhenUsed/>
    <w:rsid w:val="008C1918"/>
    <w:pPr>
      <w:tabs>
        <w:tab w:val="center" w:pos="4513"/>
        <w:tab w:val="right" w:pos="9026"/>
      </w:tabs>
    </w:pPr>
  </w:style>
  <w:style w:type="character" w:customStyle="1" w:styleId="FooterChar">
    <w:name w:val="Footer Char"/>
    <w:basedOn w:val="DefaultParagraphFont"/>
    <w:link w:val="Footer"/>
    <w:uiPriority w:val="99"/>
    <w:rsid w:val="008C1918"/>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5E6F99"/>
    <w:rPr>
      <w:sz w:val="16"/>
      <w:szCs w:val="16"/>
    </w:rPr>
  </w:style>
  <w:style w:type="paragraph" w:customStyle="1" w:styleId="CommentText1">
    <w:name w:val="Comment Text1"/>
    <w:basedOn w:val="Normal"/>
    <w:next w:val="CommentText"/>
    <w:uiPriority w:val="99"/>
    <w:unhideWhenUsed/>
    <w:rsid w:val="005E6F99"/>
    <w:pPr>
      <w:widowControl/>
      <w:autoSpaceDE/>
      <w:autoSpaceDN/>
      <w:spacing w:before="120" w:after="120"/>
    </w:pPr>
    <w:rPr>
      <w:rFonts w:ascii="Calibri" w:eastAsia="Times New Roman" w:hAnsi="Calibri" w:cs="Times New Roman"/>
      <w:sz w:val="20"/>
      <w:szCs w:val="20"/>
      <w:lang w:eastAsia="en-US" w:bidi="ar-SA"/>
    </w:rPr>
  </w:style>
  <w:style w:type="paragraph" w:styleId="CommentText">
    <w:name w:val="annotation text"/>
    <w:basedOn w:val="Normal"/>
    <w:link w:val="CommentTextChar"/>
    <w:uiPriority w:val="99"/>
    <w:semiHidden/>
    <w:unhideWhenUsed/>
    <w:rsid w:val="005E6F99"/>
    <w:rPr>
      <w:sz w:val="20"/>
      <w:szCs w:val="20"/>
    </w:rPr>
  </w:style>
  <w:style w:type="character" w:customStyle="1" w:styleId="CommentTextChar">
    <w:name w:val="Comment Text Char"/>
    <w:basedOn w:val="DefaultParagraphFont"/>
    <w:link w:val="CommentText"/>
    <w:uiPriority w:val="99"/>
    <w:semiHidden/>
    <w:rsid w:val="005E6F99"/>
    <w:rPr>
      <w:rFonts w:ascii="Arial" w:eastAsia="Arial" w:hAnsi="Arial" w:cs="Arial"/>
      <w:sz w:val="20"/>
      <w:szCs w:val="20"/>
      <w:lang w:val="en-GB" w:eastAsia="en-GB" w:bidi="en-GB"/>
    </w:rPr>
  </w:style>
  <w:style w:type="character" w:styleId="Strong">
    <w:name w:val="Strong"/>
    <w:aliases w:val="360 Sub heading 1"/>
    <w:basedOn w:val="DefaultParagraphFont"/>
    <w:uiPriority w:val="22"/>
    <w:qFormat/>
    <w:rsid w:val="003370F8"/>
    <w:rPr>
      <w:b/>
      <w:bCs/>
    </w:rPr>
  </w:style>
  <w:style w:type="paragraph" w:customStyle="1" w:styleId="360NormalText">
    <w:name w:val="360NormalText"/>
    <w:qFormat/>
    <w:rsid w:val="003370F8"/>
    <w:pPr>
      <w:autoSpaceDE/>
      <w:autoSpaceDN/>
      <w:spacing w:before="120" w:after="120"/>
    </w:pPr>
    <w:rPr>
      <w:rFonts w:asciiTheme="majorHAnsi" w:eastAsiaTheme="minorEastAsia" w:hAnsiTheme="majorHAnsi" w:cs="Times New Roman"/>
      <w:sz w:val="24"/>
      <w:szCs w:val="24"/>
      <w:lang w:val="en-GB"/>
    </w:rPr>
  </w:style>
  <w:style w:type="table" w:styleId="TableGrid">
    <w:name w:val="Table Grid"/>
    <w:basedOn w:val="TableNormal"/>
    <w:uiPriority w:val="39"/>
    <w:rsid w:val="009D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EEC"/>
    <w:rPr>
      <w:color w:val="0563C1"/>
      <w:u w:val="single"/>
    </w:rPr>
  </w:style>
  <w:style w:type="character" w:styleId="SmartLink">
    <w:name w:val="Smart Link"/>
    <w:basedOn w:val="DefaultParagraphFont"/>
    <w:uiPriority w:val="99"/>
    <w:semiHidden/>
    <w:unhideWhenUsed/>
    <w:rsid w:val="00245EEC"/>
    <w:rPr>
      <w:color w:val="0000FF"/>
      <w:u w:val="single"/>
      <w:shd w:val="clear" w:color="auto" w:fill="F3F2F1"/>
    </w:rPr>
  </w:style>
  <w:style w:type="character" w:styleId="UnresolvedMention">
    <w:name w:val="Unresolved Mention"/>
    <w:basedOn w:val="DefaultParagraphFont"/>
    <w:uiPriority w:val="99"/>
    <w:semiHidden/>
    <w:unhideWhenUsed/>
    <w:rsid w:val="00D643ED"/>
    <w:rPr>
      <w:color w:val="605E5C"/>
      <w:shd w:val="clear" w:color="auto" w:fill="E1DFDD"/>
    </w:rPr>
  </w:style>
  <w:style w:type="character" w:styleId="FollowedHyperlink">
    <w:name w:val="FollowedHyperlink"/>
    <w:basedOn w:val="DefaultParagraphFont"/>
    <w:uiPriority w:val="99"/>
    <w:semiHidden/>
    <w:unhideWhenUsed/>
    <w:rsid w:val="004A6AD9"/>
    <w:rPr>
      <w:color w:val="800080" w:themeColor="followedHyperlink"/>
      <w:u w:val="single"/>
    </w:rPr>
  </w:style>
  <w:style w:type="character" w:customStyle="1" w:styleId="Heading1Char">
    <w:name w:val="Heading 1 Char"/>
    <w:basedOn w:val="DefaultParagraphFont"/>
    <w:link w:val="Heading1"/>
    <w:uiPriority w:val="9"/>
    <w:rsid w:val="004A6AD9"/>
    <w:rPr>
      <w:rFonts w:ascii="Arial" w:eastAsia="Arial" w:hAnsi="Arial" w:cs="Arial"/>
      <w:b/>
      <w:bCs/>
      <w:sz w:val="28"/>
      <w:szCs w:val="2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791288">
      <w:bodyDiv w:val="1"/>
      <w:marLeft w:val="0"/>
      <w:marRight w:val="0"/>
      <w:marTop w:val="0"/>
      <w:marBottom w:val="0"/>
      <w:divBdr>
        <w:top w:val="none" w:sz="0" w:space="0" w:color="auto"/>
        <w:left w:val="none" w:sz="0" w:space="0" w:color="auto"/>
        <w:bottom w:val="none" w:sz="0" w:space="0" w:color="auto"/>
        <w:right w:val="none" w:sz="0" w:space="0" w:color="auto"/>
      </w:divBdr>
    </w:div>
    <w:div w:id="1830167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hs.sharepoint.com/sites/03N_ICB_Risk_Registers/Lists/BAF/Review%20BAF.aspx?OR=Teams%2DHL&amp;CT=1704364861137&amp;clickparams=eyJBcHBOYW1lIjoiVGVhbXMtRGVza3RvcCIsIkFwcFZlcnNpb24iOiIyNy8yMzExMDIyNDcwNSIsIkhhc0ZlZGVyYXRlZFVzZXIiOmZhbHNlfQ%3D%3D&amp;isAscending=false&amp;sortField=Residual%5Fx0020%5FScore&amp;viewid=854e72f7%2D69c4%2D4f64%2D81d4%2D603b62a08f5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yicb-sheffield.riskmanagement@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hs.sharepoint.com/sites/03N_ICB_Risk_Registers/Lists/Risk%20Register/Review%20Risks.aspx?viewid=c2dbc148-1f2a-424e-9e43-cd285a2edb6b&amp;xsdata=MDV8MDJ8Y2Fyb2wuaGVuZGVyc29uM0BuaHMubmV0fDk2ODc3NjJhNzU3YzQ2MTk1NTdlMDhkY2RlMmM4MjVlfDM3YzM1NGIyODViMDQ3ZjViMjIyMDdiNDhkNzc0ZWUzfDB8MHw2Mzg2Mjk1Mjk5NDM3MzYzMDV8VW5rbm93bnxUV0ZwYkdac2IzZDhleUpXSWpvaU1DNHdMakF3TURBaUxDSlFJam9pVjJsdU16SWlMQ0pCVGlJNklrMWhhV3dpTENKWFZDSTZNbjA9fDB8fHw%3d&amp;sdata=VDhzdnVIeTlMbXVPcDVPYlJEZXFpbVkybzBXbnl2NEhnOFBuZzdFSkJRND0%3d" TargetMode="External"/><Relationship Id="rId5" Type="http://schemas.openxmlformats.org/officeDocument/2006/relationships/styles" Target="styles.xml"/><Relationship Id="rId15" Type="http://schemas.openxmlformats.org/officeDocument/2006/relationships/hyperlink" Target="https://nhs.sharepoint.com/sites/03N_ICB_Risk_Registers/Lists/Issues%20Log/Review%20Issues.aspx?isAscending=false&amp;viewid=c257e60a%2Dec65%2D4529%2Da75f%2D63eed1c79d2a"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hs.sharepoint.com/sites/03N_ICB_Risk_Registers/Lists/Risk%20Register/Review%20Risks.aspx?OR=Teams%2DHL&amp;CT=1704357935968&amp;clickparams=eyJBcHBOYW1lIjoiVGVhbXMtRGVza3RvcCIsIkFwcFZlcnNpb24iOiIyNy8yMzExMDIyNDcwNSIsIkhhc0ZlZGVyYXRlZFVzZXIiOmZhbHNlfQ%3D%3D&amp;useFiltersInViewXml=1&amp;isAscending=false&amp;sortField=Residual%5FScore&amp;viewid=cb2fbd05%2D66a0%2D4ce5%2Da291%2D8610ef1c7c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5018A11717134BB97278703A0B5E56" ma:contentTypeVersion="16" ma:contentTypeDescription="Create a new document." ma:contentTypeScope="" ma:versionID="6a0a9c80cd566b23efe3723b654e3ae5">
  <xsd:schema xmlns:xsd="http://www.w3.org/2001/XMLSchema" xmlns:xs="http://www.w3.org/2001/XMLSchema" xmlns:p="http://schemas.microsoft.com/office/2006/metadata/properties" xmlns:ns1="http://schemas.microsoft.com/sharepoint/v3" xmlns:ns2="d046717a-388e-49dc-b045-3ec22a2ba0e2" xmlns:ns3="57f926ae-5b61-4ed4-98ca-58bb5f26300f" targetNamespace="http://schemas.microsoft.com/office/2006/metadata/properties" ma:root="true" ma:fieldsID="4628e8484f8f04acb2f013570a68aa32" ns1:_="" ns2:_="" ns3:_="">
    <xsd:import namespace="http://schemas.microsoft.com/sharepoint/v3"/>
    <xsd:import namespace="d046717a-388e-49dc-b045-3ec22a2ba0e2"/>
    <xsd:import namespace="57f926ae-5b61-4ed4-98ca-58bb5f263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6717a-388e-49dc-b045-3ec22a2ba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26ae-5b61-4ed4-98ca-58bb5f2630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40620c-cedf-4cdb-ac68-637adceb469f}" ma:internalName="TaxCatchAll" ma:showField="CatchAllData" ma:web="57f926ae-5b61-4ed4-98ca-58bb5f263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7f926ae-5b61-4ed4-98ca-58bb5f26300f" xsi:nil="true"/>
    <lcf76f155ced4ddcb4097134ff3c332f xmlns="d046717a-388e-49dc-b045-3ec22a2ba0e2">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FAB7CF2-C605-4FC4-AEC5-2C886F41984E}">
  <ds:schemaRefs>
    <ds:schemaRef ds:uri="http://schemas.microsoft.com/sharepoint/v3/contenttype/forms"/>
  </ds:schemaRefs>
</ds:datastoreItem>
</file>

<file path=customXml/itemProps2.xml><?xml version="1.0" encoding="utf-8"?>
<ds:datastoreItem xmlns:ds="http://schemas.openxmlformats.org/officeDocument/2006/customXml" ds:itemID="{3BBD70DC-EAEA-473D-BD3E-EB75EBF8BCE0}"/>
</file>

<file path=customXml/itemProps3.xml><?xml version="1.0" encoding="utf-8"?>
<ds:datastoreItem xmlns:ds="http://schemas.openxmlformats.org/officeDocument/2006/customXml" ds:itemID="{EDB81FD4-BCC8-4933-A38E-5C7FDDC82D17}">
  <ds:schemaRefs>
    <ds:schemaRef ds:uri="http://schemas.microsoft.com/office/2006/metadata/properties"/>
    <ds:schemaRef ds:uri="http://schemas.microsoft.com/office/infopath/2007/PartnerControls"/>
    <ds:schemaRef ds:uri="df33f9c1-63e5-4f94-8003-61d7b22fa93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5711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carolhen</dc:creator>
  <cp:lastModifiedBy>COMMONS, Wendy (NHS SOUTH YORKSHIRE ICB - 03L)</cp:lastModifiedBy>
  <cp:revision>2</cp:revision>
  <cp:lastPrinted>2024-04-17T11:30:00Z</cp:lastPrinted>
  <dcterms:created xsi:type="dcterms:W3CDTF">2025-10-09T08:04:00Z</dcterms:created>
  <dcterms:modified xsi:type="dcterms:W3CDTF">2025-10-09T08:04:00Z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PDFMaker 17 for Word</vt:lpwstr>
  </property>
  <property fmtid="{D5CDD505-2E9C-101B-9397-08002B2CF9AE}" pid="4" name="LastSaved">
    <vt:filetime>2022-04-25T00:00:00Z</vt:filetime>
  </property>
  <property fmtid="{D5CDD505-2E9C-101B-9397-08002B2CF9AE}" pid="5" name="ContentTypeId">
    <vt:lpwstr>0x010100AC5018A11717134BB97278703A0B5E56</vt:lpwstr>
  </property>
  <property fmtid="{D5CDD505-2E9C-101B-9397-08002B2CF9AE}" pid="6" name="MediaServiceImageTags">
    <vt:lpwstr/>
  </property>
  <property fmtid="{D5CDD505-2E9C-101B-9397-08002B2CF9AE}" pid="7" name="Order">
    <vt:r8>128700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